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3" name="image2.png"/>
            <a:graphic>
              <a:graphicData uri="http://schemas.openxmlformats.org/drawingml/2006/picture">
                <pic:pic>
                  <pic:nvPicPr>
                    <pic:cNvPr descr="DISTRICT_Letterhead Top_2019_fo" id="0" name="image2.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February 15, 2024</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w:t>
      </w:r>
      <w:r w:rsidDel="00000000" w:rsidR="00000000" w:rsidRPr="00000000">
        <w:rPr>
          <w:rFonts w:ascii="Verdana" w:cs="Verdana" w:eastAsia="Verdana" w:hAnsi="Verdana"/>
          <w:sz w:val="22"/>
          <w:szCs w:val="22"/>
          <w:rtl w:val="0"/>
        </w:rPr>
        <w:t xml:space="preserve">Families</w:t>
      </w:r>
      <w:r w:rsidDel="00000000" w:rsidR="00000000" w:rsidRPr="00000000">
        <w:rPr>
          <w:rFonts w:ascii="Verdana" w:cs="Verdana" w:eastAsia="Verdana" w:hAnsi="Verdana"/>
          <w:color w:val="000000"/>
          <w:sz w:val="22"/>
          <w:szCs w:val="22"/>
          <w:rtl w:val="0"/>
        </w:rPr>
        <w:t xml:space="preserve">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color w:val="000000"/>
          <w:sz w:val="22"/>
          <w:szCs w:val="22"/>
          <w:rtl w:val="0"/>
        </w:rPr>
        <w:t xml:space="preserve"> educational progress for Heights Elementary School. The AER addresses the complex reporting information required by federal and state laws. The school’s report contains information about student assessment, accountability, and teacher quality. If you have any questions about the AER, please contact Kevin Derr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hyperlink r:id="rId9">
        <w:r w:rsidDel="00000000" w:rsidR="00000000" w:rsidRPr="00000000">
          <w:rPr>
            <w:rFonts w:ascii="Verdana" w:cs="Verdana" w:eastAsia="Verdana" w:hAnsi="Verdana"/>
            <w:b w:val="1"/>
            <w:color w:val="1155cc"/>
            <w:sz w:val="22"/>
            <w:szCs w:val="22"/>
            <w:u w:val="single"/>
            <w:rtl w:val="0"/>
          </w:rPr>
          <w:t xml:space="preserve">https://www.mischooldata.org/</w:t>
        </w:r>
      </w:hyperlink>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4</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shd w:fill="b4a7d6" w:val="clear"/>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one of these labels.</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At Holland Heights, our goal is to improve student learning every year.  We work hard to assist our students in reaching their learning goals.  We know that there are challenges for some of our learners, but we are determined to overcome those challenges.  The staff at Holland Heights work tirelessly to support the learning of our students and go above and beyond in working to improve student achievement.  Tier One instruction is something we are always working to make stronger, which we know will improve student achievement. This year we are strategically increasing Tier 2 support with our Title One Team. This team consists of a Title One Teacher and 3 Instructional Assistants to assist in providing reading interventions for our students.  At times they will also provide some math intervention when needed.  The focus in grades TK-2 is early literacy and as we implement a new curriculum this year, the title team will be very helpful in supporting our students who may need a little boost to grow as a learner.   The students who need the most support at Holland Heights are our Students with Disabilities, EL learners and our Economically Disadvantaged students.  We continue to provide support for those learners academically and social-emotionally. </w:t>
      </w:r>
    </w:p>
    <w:p w:rsidR="00000000" w:rsidDel="00000000" w:rsidP="00000000" w:rsidRDefault="00000000" w:rsidRPr="00000000" w14:paraId="00000011">
      <w:pPr>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State law requires that we also report additional information</w:t>
      </w:r>
    </w:p>
    <w:p w:rsidR="00000000" w:rsidDel="00000000" w:rsidP="00000000" w:rsidRDefault="00000000" w:rsidRPr="00000000" w14:paraId="00000013">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PROCESS FOR ASSIGNING PUPILS TO THE SCHOOL</w:t>
      </w:r>
    </w:p>
    <w:p w:rsidR="00000000" w:rsidDel="00000000" w:rsidP="00000000" w:rsidRDefault="00000000" w:rsidRPr="00000000" w14:paraId="00000015">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Board Policy 5120 - ASSIGNMENT TO SCHOOL, CLASS, AND GRADE for Holland Public Schools</w:t>
      </w:r>
    </w:p>
    <w:p w:rsidR="00000000" w:rsidDel="00000000" w:rsidP="00000000" w:rsidRDefault="00000000" w:rsidRPr="00000000" w14:paraId="00000016">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17">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8">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19">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School Assignment/Transfer</w:t>
      </w:r>
    </w:p>
    <w:p w:rsidR="00000000" w:rsidDel="00000000" w:rsidP="00000000" w:rsidRDefault="00000000" w:rsidRPr="00000000" w14:paraId="0000001A">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1B">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1C">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1D">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1E">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1F">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0">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Class and Grade Assignment/Transfer</w:t>
      </w:r>
    </w:p>
    <w:p w:rsidR="00000000" w:rsidDel="00000000" w:rsidP="00000000" w:rsidRDefault="00000000" w:rsidRPr="00000000" w14:paraId="00000021">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Assignments to class and grade shall be made by the principal after consultation with relevant staff.</w:t>
      </w:r>
    </w:p>
    <w:p w:rsidR="00000000" w:rsidDel="00000000" w:rsidP="00000000" w:rsidRDefault="00000000" w:rsidRPr="00000000" w14:paraId="00000022">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3">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4">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5">
      <w:pPr>
        <w:numPr>
          <w:ilvl w:val="0"/>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procedures shall be followed in a transfer of a student within a school:</w:t>
      </w:r>
    </w:p>
    <w:p w:rsidR="00000000" w:rsidDel="00000000" w:rsidP="00000000" w:rsidRDefault="00000000" w:rsidRPr="00000000" w14:paraId="00000026">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7">
      <w:pPr>
        <w:numPr>
          <w:ilvl w:val="1"/>
          <w:numId w:val="1"/>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8">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9">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2A">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B">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STATUS OF THE 3-5 YEAR SCHOOL IMPROVEMENT PLAN</w:t>
      </w:r>
    </w:p>
    <w:p w:rsidR="00000000" w:rsidDel="00000000" w:rsidP="00000000" w:rsidRDefault="00000000" w:rsidRPr="00000000" w14:paraId="0000002C">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At Holland Heights Elementary we are still learning how the new MICIP School Improvement system is being implemented with the rest of the district. We set a district wide goal that had strategies and activities specific to the elementary schools, along with a few that all buildings would be working on.  Much of the work we do on these goals will continue in subsequent years with teacher input during our Continuous School Improvement meetings 3-5 times during the school year.  Our building School Improvement Team is also part of designing the goals in our plan that are specific to Holland Heights.  Our team meets once or twice a month. Similar to last year, we will continue to work with the district on the new MICIP program and add goals along with strategies/activities that are specific to our school.  We will continue to focus on Reading and Math, along with supporting the Social/Emotional well being of our students.  We plan to continue working on those areas by providing PD to our staff to continue their growth around improving literacy and math instruction for all of our learners.  </w:t>
      </w:r>
    </w:p>
    <w:p w:rsidR="00000000" w:rsidDel="00000000" w:rsidP="00000000" w:rsidRDefault="00000000" w:rsidRPr="00000000" w14:paraId="0000002D">
      <w:pPr>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E">
      <w:pPr>
        <w:ind w:left="720" w:firstLine="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A BRIEF DESCRIPTION OF EACH SPECIALIZED SCHOOL</w:t>
      </w:r>
    </w:p>
    <w:p w:rsidR="00000000" w:rsidDel="00000000" w:rsidP="00000000" w:rsidRDefault="00000000" w:rsidRPr="00000000" w14:paraId="0000002F">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30">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1.  Severe Multiple Impairments Classrooms</w:t>
      </w:r>
    </w:p>
    <w:p w:rsidR="00000000" w:rsidDel="00000000" w:rsidP="00000000" w:rsidRDefault="00000000" w:rsidRPr="00000000" w14:paraId="00000031">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2">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3">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4">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  Early Childhood Special Education Classrooms</w:t>
      </w:r>
    </w:p>
    <w:p w:rsidR="00000000" w:rsidDel="00000000" w:rsidP="00000000" w:rsidRDefault="00000000" w:rsidRPr="00000000" w14:paraId="00000035">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6">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7">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8">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3.  Classrooms for students with Hearing Impairments</w:t>
      </w:r>
    </w:p>
    <w:p w:rsidR="00000000" w:rsidDel="00000000" w:rsidP="00000000" w:rsidRDefault="00000000" w:rsidRPr="00000000" w14:paraId="00000039">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A">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B">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C">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4.  Autism Spectrum Disorder Classrooms</w:t>
      </w:r>
    </w:p>
    <w:p w:rsidR="00000000" w:rsidDel="00000000" w:rsidP="00000000" w:rsidRDefault="00000000" w:rsidRPr="00000000" w14:paraId="0000003D">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E">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ASD.  These classrooms operate according to the regulations defined by the Individuals with Disabilities Education Act (IDEA) and the Michigan Administrative Rules for Special Education (R 340.1758).</w:t>
      </w:r>
    </w:p>
    <w:p w:rsidR="00000000" w:rsidDel="00000000" w:rsidP="00000000" w:rsidRDefault="00000000" w:rsidRPr="00000000" w14:paraId="0000003F">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0">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41">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2">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3">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4">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highlight w:val="white"/>
          <w:rtl w:val="0"/>
        </w:rPr>
        <w:t xml:space="preserve">Michigan Academic Standards Page,</w:t>
      </w:r>
      <w:r w:rsidDel="00000000" w:rsidR="00000000" w:rsidRPr="00000000">
        <w:rPr>
          <w:rFonts w:ascii="Open Sans" w:cs="Open Sans" w:eastAsia="Open Sans" w:hAnsi="Open Sans"/>
          <w:sz w:val="23"/>
          <w:szCs w:val="23"/>
          <w:highlight w:val="white"/>
          <w:rtl w:val="0"/>
        </w:rPr>
        <w:t xml:space="preserve"> on the State of Michigan website: </w:t>
      </w:r>
      <w:hyperlink r:id="rId10">
        <w:r w:rsidDel="00000000" w:rsidR="00000000" w:rsidRPr="00000000">
          <w:rPr>
            <w:rFonts w:ascii="Open Sans" w:cs="Open Sans" w:eastAsia="Open Sans" w:hAnsi="Open Sans"/>
            <w:color w:val="1155cc"/>
            <w:sz w:val="23"/>
            <w:szCs w:val="23"/>
            <w:highlight w:val="white"/>
            <w:u w:val="single"/>
            <w:rtl w:val="0"/>
          </w:rPr>
          <w:t xml:space="preserve">http://www.michigan.gov/mde/0,4615,7-140-28753_64839_65510---,00.html</w:t>
        </w:r>
      </w:hyperlink>
      <w:r w:rsidDel="00000000" w:rsidR="00000000" w:rsidRPr="00000000">
        <w:rPr>
          <w:rFonts w:ascii="Open Sans" w:cs="Open Sans" w:eastAsia="Open Sans" w:hAnsi="Open Sans"/>
          <w:sz w:val="23"/>
          <w:szCs w:val="23"/>
          <w:highlight w:val="white"/>
          <w:rtl w:val="0"/>
        </w:rPr>
        <w:t xml:space="preserve">.</w:t>
      </w:r>
    </w:p>
    <w:p w:rsidR="00000000" w:rsidDel="00000000" w:rsidP="00000000" w:rsidRDefault="00000000" w:rsidRPr="00000000" w14:paraId="00000045">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p>
    <w:p w:rsidR="00000000" w:rsidDel="00000000" w:rsidP="00000000" w:rsidRDefault="00000000" w:rsidRPr="00000000" w14:paraId="00000046">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7">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8">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9">
      <w:pPr>
        <w:ind w:left="720" w:firstLine="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 AER is available for you to review electronically by visiting the following website https://bit.ly/3J93yL9, or you may review a copy in the main office at your child’s school.</w:t>
      </w:r>
    </w:p>
    <w:p w:rsidR="00000000" w:rsidDel="00000000" w:rsidP="00000000" w:rsidRDefault="00000000" w:rsidRPr="00000000" w14:paraId="0000004A">
      <w:pPr>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p>
    <w:p w:rsidR="00000000" w:rsidDel="00000000" w:rsidP="00000000" w:rsidRDefault="00000000" w:rsidRPr="00000000" w14:paraId="0000004C">
      <w:pPr>
        <w:spacing w:line="276"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4D">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Fall 2022 - Conferences TK - 5 - In person</w:t>
      </w:r>
    </w:p>
    <w:p w:rsidR="00000000" w:rsidDel="00000000" w:rsidP="00000000" w:rsidRDefault="00000000" w:rsidRPr="00000000" w14:paraId="0000004E">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TK - 100%</w:t>
      </w:r>
    </w:p>
    <w:p w:rsidR="00000000" w:rsidDel="00000000" w:rsidP="00000000" w:rsidRDefault="00000000" w:rsidRPr="00000000" w14:paraId="0000004F">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Kindergarten - 93%</w:t>
      </w:r>
    </w:p>
    <w:p w:rsidR="00000000" w:rsidDel="00000000" w:rsidP="00000000" w:rsidRDefault="00000000" w:rsidRPr="00000000" w14:paraId="00000050">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1st Grade -  91%</w:t>
      </w:r>
    </w:p>
    <w:p w:rsidR="00000000" w:rsidDel="00000000" w:rsidP="00000000" w:rsidRDefault="00000000" w:rsidRPr="00000000" w14:paraId="00000051">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2nd Grade - 83%</w:t>
      </w:r>
    </w:p>
    <w:p w:rsidR="00000000" w:rsidDel="00000000" w:rsidP="00000000" w:rsidRDefault="00000000" w:rsidRPr="00000000" w14:paraId="00000052">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3rd Grade - 97%</w:t>
      </w:r>
    </w:p>
    <w:p w:rsidR="00000000" w:rsidDel="00000000" w:rsidP="00000000" w:rsidRDefault="00000000" w:rsidRPr="00000000" w14:paraId="00000053">
      <w:pPr>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ab/>
        <w:tab/>
        <w:tab/>
        <w:t xml:space="preserve">4th Grade - 86%</w:t>
      </w:r>
    </w:p>
    <w:p w:rsidR="00000000" w:rsidDel="00000000" w:rsidP="00000000" w:rsidRDefault="00000000" w:rsidRPr="00000000" w14:paraId="00000054">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2"/>
          <w:szCs w:val="22"/>
          <w:highlight w:val="white"/>
          <w:rtl w:val="0"/>
        </w:rPr>
        <w:tab/>
        <w:tab/>
        <w:tab/>
        <w:t xml:space="preserve">5th Grade - 92%</w:t>
      </w:r>
      <w:r w:rsidDel="00000000" w:rsidR="00000000" w:rsidRPr="00000000">
        <w:rPr>
          <w:rtl w:val="0"/>
        </w:rPr>
      </w:r>
    </w:p>
    <w:p w:rsidR="00000000" w:rsidDel="00000000" w:rsidP="00000000" w:rsidRDefault="00000000" w:rsidRPr="00000000" w14:paraId="00000055">
      <w:pPr>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56">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Spring 2023 - Conferences TK-5 </w:t>
      </w:r>
    </w:p>
    <w:p w:rsidR="00000000" w:rsidDel="00000000" w:rsidP="00000000" w:rsidRDefault="00000000" w:rsidRPr="00000000" w14:paraId="00000057">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TK - 100%</w:t>
      </w:r>
    </w:p>
    <w:p w:rsidR="00000000" w:rsidDel="00000000" w:rsidP="00000000" w:rsidRDefault="00000000" w:rsidRPr="00000000" w14:paraId="00000058">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Kindergarten - 97%</w:t>
      </w:r>
    </w:p>
    <w:p w:rsidR="00000000" w:rsidDel="00000000" w:rsidP="00000000" w:rsidRDefault="00000000" w:rsidRPr="00000000" w14:paraId="00000059">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1st Grade - 91%</w:t>
      </w:r>
    </w:p>
    <w:p w:rsidR="00000000" w:rsidDel="00000000" w:rsidP="00000000" w:rsidRDefault="00000000" w:rsidRPr="00000000" w14:paraId="0000005A">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2nd Grade - 84%</w:t>
      </w:r>
    </w:p>
    <w:p w:rsidR="00000000" w:rsidDel="00000000" w:rsidP="00000000" w:rsidRDefault="00000000" w:rsidRPr="00000000" w14:paraId="0000005B">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3rd Grade - 91%</w:t>
      </w:r>
    </w:p>
    <w:p w:rsidR="00000000" w:rsidDel="00000000" w:rsidP="00000000" w:rsidRDefault="00000000" w:rsidRPr="00000000" w14:paraId="0000005C">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4th Grade - 66%</w:t>
      </w:r>
    </w:p>
    <w:p w:rsidR="00000000" w:rsidDel="00000000" w:rsidP="00000000" w:rsidRDefault="00000000" w:rsidRPr="00000000" w14:paraId="0000005D">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ab/>
        <w:tab/>
        <w:tab/>
        <w:t xml:space="preserve">5th Grade - 89%</w:t>
      </w:r>
    </w:p>
    <w:p w:rsidR="00000000" w:rsidDel="00000000" w:rsidP="00000000" w:rsidRDefault="00000000" w:rsidRPr="00000000" w14:paraId="0000005E">
      <w:pPr>
        <w:ind w:left="720" w:firstLine="0"/>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                  </w:t>
      </w:r>
    </w:p>
    <w:p w:rsidR="00000000" w:rsidDel="00000000" w:rsidP="00000000" w:rsidRDefault="00000000" w:rsidRPr="00000000" w14:paraId="0000005F">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60">
      <w:pPr>
        <w:ind w:right="-36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Staff at Holland Heights is all about building relationships with their students and their families to best support their growth in learning.  We continue to work to improve our own teaching practices to make sure we are doing what is best for our kids every day.  This is our 2nd year working with the Outdoor Discovery Center  to support our transition to a Nature Based Elementary school that will provide our students with more learning opportunities outside of the classroom.  We feel that these experiences will help our students make better connections to their learning.  We have amazing learners that come to school every day excited to learn.  Our families are very supportive of the school and we want to continue to look for ways to strengthen this partnership with them.  We know that together we can make a difference for their child.  I appreciate how the staff goes above and beyond the normal school day in supporting our kids and their families.  We are truly a community of learners at Holland Heights Elementary.</w:t>
      </w:r>
      <w:r w:rsidDel="00000000" w:rsidR="00000000" w:rsidRPr="00000000">
        <w:rPr>
          <w:rtl w:val="0"/>
        </w:rPr>
      </w:r>
    </w:p>
    <w:p w:rsidR="00000000" w:rsidDel="00000000" w:rsidP="00000000" w:rsidRDefault="00000000" w:rsidRPr="00000000" w14:paraId="0000006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2">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Sincerely,</w:t>
      </w:r>
    </w:p>
    <w:p w:rsidR="00000000" w:rsidDel="00000000" w:rsidP="00000000" w:rsidRDefault="00000000" w:rsidRPr="00000000" w14:paraId="00000063">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64">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65">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66">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Kevin Derr </w:t>
      </w:r>
    </w:p>
    <w:p w:rsidR="00000000" w:rsidDel="00000000" w:rsidP="00000000" w:rsidRDefault="00000000" w:rsidRPr="00000000" w14:paraId="00000067">
      <w:pPr>
        <w:rPr>
          <w:rFonts w:ascii="Verdana" w:cs="Verdana" w:eastAsia="Verdana" w:hAnsi="Verdana"/>
          <w:color w:val="000000"/>
          <w:sz w:val="22"/>
          <w:szCs w:val="22"/>
        </w:rPr>
      </w:pPr>
      <w:bookmarkStart w:colFirst="0" w:colLast="0" w:name="_heading=h.gjdgxs" w:id="0"/>
      <w:bookmarkEnd w:id="0"/>
      <w:r w:rsidDel="00000000" w:rsidR="00000000" w:rsidRPr="00000000">
        <w:rPr>
          <w:rFonts w:ascii="Verdana" w:cs="Verdana" w:eastAsia="Verdana" w:hAnsi="Verdana"/>
          <w:color w:val="000000"/>
          <w:sz w:val="22"/>
          <w:szCs w:val="22"/>
          <w:rtl w:val="0"/>
        </w:rPr>
        <w:t xml:space="preserve">Heights Elementary Principal</w:t>
      </w:r>
    </w:p>
    <w:p w:rsidR="00000000" w:rsidDel="00000000" w:rsidP="00000000" w:rsidRDefault="00000000" w:rsidRPr="00000000" w14:paraId="00000068">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michigan.gov/mde/0,4615,7-140-28753_64839_65510---,00.html" TargetMode="External"/><Relationship Id="rId9" Type="http://schemas.openxmlformats.org/officeDocument/2006/relationships/hyperlink" Target="https://www.mischooldat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F7Yp49EyPb2pyq0Q6kT8KMZRg==">CgMxLjAyCGguZ2pkZ3hzOAByITEzQjNIY0k1c29rNWxyb0xuemNQY21mX1MwTzhsXzV2NA==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