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9"/>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Jefferson Elementary School. The AER addresses the complex reporting information required by federal and state laws. The school’s report contains information about student assessment, accountability, and teacher quality. If you have any questions about the AER, please contact Sara Folkert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color w:val="000000"/>
          <w:sz w:val="22"/>
          <w:szCs w:val="22"/>
          <w:rtl w:val="0"/>
        </w:rPr>
        <w:t xml:space="preserve">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highlight w:val="green"/>
        </w:rPr>
      </w:pPr>
      <w:sdt>
        <w:sdtPr>
          <w:tag w:val="goog_rdk_0"/>
        </w:sdtPr>
        <w:sdtContent>
          <w:commentRangeStart w:id="0"/>
        </w:sdtContent>
      </w:sdt>
      <w:r w:rsidDel="00000000" w:rsidR="00000000" w:rsidRPr="00000000">
        <w:rPr>
          <w:rFonts w:ascii="Open Sans" w:cs="Open Sans" w:eastAsia="Open Sans" w:hAnsi="Open Sans"/>
          <w:sz w:val="23"/>
          <w:szCs w:val="23"/>
          <w:highlight w:val="green"/>
          <w:rtl w:val="0"/>
        </w:rPr>
        <w:t xml:space="preserve">The 2020-2021 continued to be met by the challenges of the pandemic. Although students were able to attend in-person, we experienced a significant number of staff and student absences due to COVID - 19 related illnesses. The average attendance for 2020-2021was 86%.  As a result, we are concerned about gaps in education for our students. Our testing methods are designed to be in-person, there were virtual options due to the nature of the pandemic.  </w:t>
      </w:r>
    </w:p>
    <w:p w:rsidR="00000000" w:rsidDel="00000000" w:rsidP="00000000" w:rsidRDefault="00000000" w:rsidRPr="00000000" w14:paraId="00000011">
      <w:pPr>
        <w:rPr>
          <w:rFonts w:ascii="Verdana" w:cs="Verdana" w:eastAsia="Verdana" w:hAnsi="Verdana"/>
          <w:sz w:val="23"/>
          <w:szCs w:val="23"/>
          <w:highlight w:val="green"/>
        </w:rPr>
      </w:pPr>
      <w:r w:rsidDel="00000000" w:rsidR="00000000" w:rsidRPr="00000000">
        <w:rPr>
          <w:rFonts w:ascii="Verdana" w:cs="Verdana" w:eastAsia="Verdana" w:hAnsi="Verdana"/>
          <w:sz w:val="23"/>
          <w:szCs w:val="23"/>
          <w:highlight w:val="green"/>
          <w:rtl w:val="0"/>
        </w:rPr>
        <w:t xml:space="preserve">Our most recent local data (for the 2020-2021 school year) collected via the STAR assessment, we are remaining stagnant with the percentage of students meeting and exceeding the standards in the Fall 2021</w:t>
      </w:r>
    </w:p>
    <w:p w:rsidR="00000000" w:rsidDel="00000000" w:rsidP="00000000" w:rsidRDefault="00000000" w:rsidRPr="00000000" w14:paraId="00000012">
      <w:pPr>
        <w:rPr>
          <w:rFonts w:ascii="Verdana" w:cs="Verdana" w:eastAsia="Verdana" w:hAnsi="Verdana"/>
          <w:sz w:val="23"/>
          <w:szCs w:val="23"/>
          <w:highlight w:val="green"/>
        </w:rPr>
      </w:pPr>
      <w:r w:rsidDel="00000000" w:rsidR="00000000" w:rsidRPr="00000000">
        <w:rPr>
          <w:rtl w:val="0"/>
        </w:rPr>
      </w:r>
    </w:p>
    <w:p w:rsidR="00000000" w:rsidDel="00000000" w:rsidP="00000000" w:rsidRDefault="00000000" w:rsidRPr="00000000" w14:paraId="00000013">
      <w:pPr>
        <w:tabs>
          <w:tab w:val="center" w:pos="4320"/>
          <w:tab w:val="right" w:pos="8640"/>
        </w:tabs>
        <w:rPr>
          <w:rFonts w:ascii="Verdana" w:cs="Verdana" w:eastAsia="Verdana" w:hAnsi="Verdana"/>
          <w:sz w:val="22"/>
          <w:szCs w:val="22"/>
          <w:highlight w:val="green"/>
        </w:rPr>
      </w:pPr>
      <w:r w:rsidDel="00000000" w:rsidR="00000000" w:rsidRPr="00000000">
        <w:rPr>
          <w:rFonts w:ascii="Verdana" w:cs="Verdana" w:eastAsia="Verdana" w:hAnsi="Verdana"/>
          <w:sz w:val="23"/>
          <w:szCs w:val="23"/>
          <w:highlight w:val="green"/>
          <w:rtl w:val="0"/>
        </w:rPr>
        <w:t xml:space="preserve">We are focusing on story problems and fractions in math and independent reading and small group instruction in ELA in order to work on improving student outcomes.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2"/>
          <w:szCs w:val="22"/>
          <w:highlight w:val="yellow"/>
        </w:rPr>
      </w:pPr>
      <w:sdt>
        <w:sdtPr>
          <w:tag w:val="goog_rdk_1"/>
        </w:sdtPr>
        <w:sdtContent>
          <w:commentRangeStart w:id="1"/>
        </w:sdtContent>
      </w:sdt>
      <w:r w:rsidDel="00000000" w:rsidR="00000000" w:rsidRPr="00000000">
        <w:rPr>
          <w:rFonts w:ascii="Verdana" w:cs="Verdana" w:eastAsia="Verdana" w:hAnsi="Verdana"/>
          <w:sz w:val="22"/>
          <w:szCs w:val="22"/>
          <w:highlight w:val="yellow"/>
          <w:rtl w:val="0"/>
        </w:rPr>
        <w:t xml:space="preserve">State law requires that we also report additional information. </w:t>
      </w:r>
    </w:p>
    <w:p w:rsidR="00000000" w:rsidDel="00000000" w:rsidP="00000000" w:rsidRDefault="00000000" w:rsidRPr="00000000" w14:paraId="00000016">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PROCESS FOR ASSIGNING PUPILS TO THE SCHOOL</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Board Policy 5120 - ASSIGNMENT TO SCHOOL, CLASS, AND GRADE for Holland Public Schools</w:t>
      </w:r>
    </w:p>
    <w:p w:rsidR="00000000" w:rsidDel="00000000" w:rsidP="00000000" w:rsidRDefault="00000000" w:rsidRPr="00000000" w14:paraId="00000018">
      <w:pPr>
        <w:spacing w:line="276" w:lineRule="auto"/>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 </w:t>
      </w:r>
    </w:p>
    <w:p w:rsidR="00000000" w:rsidDel="00000000" w:rsidP="00000000" w:rsidRDefault="00000000" w:rsidRPr="00000000" w14:paraId="00000019">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A">
      <w:pPr>
        <w:spacing w:line="276" w:lineRule="auto"/>
        <w:ind w:left="720" w:firstLine="0"/>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144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School Assignment/Transfer</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F">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0">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1">
      <w:pPr>
        <w:numPr>
          <w:ilvl w:val="0"/>
          <w:numId w:val="1"/>
        </w:numPr>
        <w:spacing w:line="276" w:lineRule="auto"/>
        <w:ind w:left="144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Class and Grade Assignment/Transfer</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Assignments to class and grade shall be made by the principal after consultation with relevant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4">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5">
      <w:pPr>
        <w:numPr>
          <w:ilvl w:val="0"/>
          <w:numId w:val="1"/>
        </w:numPr>
        <w:spacing w:line="276" w:lineRule="auto"/>
        <w:ind w:left="144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The following procedures shall be followed in a transfer of a student within a school: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7">
      <w:pPr>
        <w:numPr>
          <w:ilvl w:val="1"/>
          <w:numId w:val="1"/>
        </w:numPr>
        <w:spacing w:line="276" w:lineRule="auto"/>
        <w:ind w:left="2160" w:hanging="36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8">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29">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A">
      <w:pPr>
        <w:spacing w:line="276" w:lineRule="auto"/>
        <w:ind w:left="720" w:firstLine="0"/>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THE STATUS OF THE 3-5 YEAR SCHOOL IMPROVEMENT PLAN</w:t>
      </w:r>
    </w:p>
    <w:p w:rsidR="00000000" w:rsidDel="00000000" w:rsidP="00000000" w:rsidRDefault="00000000" w:rsidRPr="00000000" w14:paraId="0000002C">
      <w:pPr>
        <w:spacing w:after="200" w:lineRule="auto"/>
        <w:ind w:left="720" w:firstLine="0"/>
        <w:rPr>
          <w:rFonts w:ascii="Open Sans" w:cs="Open Sans" w:eastAsia="Open Sans" w:hAnsi="Open Sans"/>
          <w:sz w:val="22"/>
          <w:szCs w:val="22"/>
          <w:highlight w:val="yellow"/>
        </w:rPr>
      </w:pPr>
      <w:r w:rsidDel="00000000" w:rsidR="00000000" w:rsidRPr="00000000">
        <w:rPr>
          <w:rFonts w:ascii="Open Sans" w:cs="Open Sans" w:eastAsia="Open Sans" w:hAnsi="Open Sans"/>
          <w:sz w:val="22"/>
          <w:szCs w:val="22"/>
          <w:highlight w:val="yellow"/>
          <w:rtl w:val="0"/>
        </w:rPr>
        <w:t xml:space="preserve">              </w:t>
      </w:r>
    </w:p>
    <w:p w:rsidR="00000000" w:rsidDel="00000000" w:rsidP="00000000" w:rsidRDefault="00000000" w:rsidRPr="00000000" w14:paraId="0000002D">
      <w:pPr>
        <w:spacing w:line="276" w:lineRule="auto"/>
        <w:ind w:left="720" w:firstLine="0"/>
        <w:rPr>
          <w:rFonts w:ascii="Verdana" w:cs="Verdana" w:eastAsia="Verdana" w:hAnsi="Verdana"/>
          <w:sz w:val="23"/>
          <w:szCs w:val="23"/>
          <w:highlight w:val="yellow"/>
        </w:rPr>
      </w:pPr>
      <w:r w:rsidDel="00000000" w:rsidR="00000000" w:rsidRPr="00000000">
        <w:rPr>
          <w:rFonts w:ascii="Verdana" w:cs="Verdana" w:eastAsia="Verdana" w:hAnsi="Verdana"/>
          <w:sz w:val="23"/>
          <w:szCs w:val="23"/>
          <w:highlight w:val="yellow"/>
          <w:rtl w:val="0"/>
        </w:rPr>
        <w:t xml:space="preserve">Jefferson continued to focus on school climate, reading and math in our School Improvement Plan. We focused on continuing with the improvements we had made in Independent Reading and focused heavily on improving small group instruction during the 2020-2021 school year. Observation data shows that these instructional areas are showing improvement. </w:t>
      </w:r>
    </w:p>
    <w:p w:rsidR="00000000" w:rsidDel="00000000" w:rsidP="00000000" w:rsidRDefault="00000000" w:rsidRPr="00000000" w14:paraId="0000002E">
      <w:pPr>
        <w:spacing w:line="276" w:lineRule="auto"/>
        <w:ind w:left="720" w:firstLine="0"/>
        <w:rPr>
          <w:rFonts w:ascii="Verdana" w:cs="Verdana" w:eastAsia="Verdana" w:hAnsi="Verdana"/>
          <w:sz w:val="23"/>
          <w:szCs w:val="23"/>
          <w:highlight w:val="yellow"/>
        </w:rPr>
      </w:pPr>
      <w:r w:rsidDel="00000000" w:rsidR="00000000" w:rsidRPr="00000000">
        <w:rPr>
          <w:rtl w:val="0"/>
        </w:rPr>
      </w:r>
    </w:p>
    <w:p w:rsidR="00000000" w:rsidDel="00000000" w:rsidP="00000000" w:rsidRDefault="00000000" w:rsidRPr="00000000" w14:paraId="0000002F">
      <w:pPr>
        <w:spacing w:line="276" w:lineRule="auto"/>
        <w:ind w:left="720" w:firstLine="0"/>
        <w:rPr>
          <w:rFonts w:ascii="Verdana" w:cs="Verdana" w:eastAsia="Verdana" w:hAnsi="Verdana"/>
          <w:sz w:val="23"/>
          <w:szCs w:val="23"/>
          <w:highlight w:val="yellow"/>
        </w:rPr>
      </w:pPr>
      <w:r w:rsidDel="00000000" w:rsidR="00000000" w:rsidRPr="00000000">
        <w:rPr>
          <w:rFonts w:ascii="Verdana" w:cs="Verdana" w:eastAsia="Verdana" w:hAnsi="Verdana"/>
          <w:sz w:val="23"/>
          <w:szCs w:val="23"/>
          <w:highlight w:val="yellow"/>
          <w:rtl w:val="0"/>
        </w:rPr>
        <w:t xml:space="preserve">We continue to focus on story problems and fractions in math. Local observation shows improving in teaching the story problem process. </w:t>
      </w:r>
    </w:p>
    <w:p w:rsidR="00000000" w:rsidDel="00000000" w:rsidP="00000000" w:rsidRDefault="00000000" w:rsidRPr="00000000" w14:paraId="00000030">
      <w:pPr>
        <w:spacing w:line="276" w:lineRule="auto"/>
        <w:ind w:left="720" w:firstLine="0"/>
        <w:rPr>
          <w:rFonts w:ascii="Verdana" w:cs="Verdana" w:eastAsia="Verdana" w:hAnsi="Verdana"/>
          <w:sz w:val="23"/>
          <w:szCs w:val="23"/>
          <w:highlight w:val="yellow"/>
        </w:rPr>
      </w:pPr>
      <w:r w:rsidDel="00000000" w:rsidR="00000000" w:rsidRPr="00000000">
        <w:rPr>
          <w:rtl w:val="0"/>
        </w:rPr>
      </w:r>
    </w:p>
    <w:p w:rsidR="00000000" w:rsidDel="00000000" w:rsidP="00000000" w:rsidRDefault="00000000" w:rsidRPr="00000000" w14:paraId="00000031">
      <w:pPr>
        <w:spacing w:line="276" w:lineRule="auto"/>
        <w:ind w:left="720" w:firstLine="0"/>
        <w:rPr>
          <w:rFonts w:ascii="Verdana" w:cs="Verdana" w:eastAsia="Verdana" w:hAnsi="Verdana"/>
          <w:sz w:val="22"/>
          <w:szCs w:val="22"/>
          <w:highlight w:val="yellow"/>
        </w:rPr>
      </w:pPr>
      <w:r w:rsidDel="00000000" w:rsidR="00000000" w:rsidRPr="00000000">
        <w:rPr>
          <w:rFonts w:ascii="Verdana" w:cs="Verdana" w:eastAsia="Verdana" w:hAnsi="Verdana"/>
          <w:sz w:val="23"/>
          <w:szCs w:val="23"/>
          <w:highlight w:val="yellow"/>
          <w:rtl w:val="0"/>
        </w:rPr>
        <w:t xml:space="preserve">We have had a heavy focus on improving climate and culture. During the 2020-2021 school year, Jefferson focused on improving our Tier II behavior support systems. Through this and our continued work in positive behavior supports, we experienced an overall reduction in behavior referrals from the prior year (adjusted based on reduced days of in person instruction in 2020-2021. We will continue to focus on further improving our climate and culture. </w:t>
      </w:r>
      <w:r w:rsidDel="00000000" w:rsidR="00000000" w:rsidRPr="00000000">
        <w:rPr>
          <w:rtl w:val="0"/>
        </w:rPr>
      </w:r>
    </w:p>
    <w:p w:rsidR="00000000" w:rsidDel="00000000" w:rsidP="00000000" w:rsidRDefault="00000000" w:rsidRPr="00000000" w14:paraId="00000032">
      <w:pPr>
        <w:spacing w:line="276" w:lineRule="auto"/>
        <w:ind w:left="72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33">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A BRIEF DESCRIPTION OF EACH SPECIALIZED SCHOOL</w:t>
      </w:r>
    </w:p>
    <w:p w:rsidR="00000000" w:rsidDel="00000000" w:rsidP="00000000" w:rsidRDefault="00000000" w:rsidRPr="00000000" w14:paraId="00000034">
      <w:pPr>
        <w:spacing w:line="276" w:lineRule="auto"/>
        <w:ind w:firstLine="72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1.  Severe Multiple Impairments Classrooms</w:t>
      </w:r>
    </w:p>
    <w:p w:rsidR="00000000" w:rsidDel="00000000" w:rsidP="00000000" w:rsidRDefault="00000000" w:rsidRPr="00000000" w14:paraId="00000035">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36">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7">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38">
      <w:pPr>
        <w:spacing w:line="276" w:lineRule="auto"/>
        <w:ind w:firstLine="72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2.  Early Childhood Special Education Classrooms</w:t>
      </w:r>
    </w:p>
    <w:p w:rsidR="00000000" w:rsidDel="00000000" w:rsidP="00000000" w:rsidRDefault="00000000" w:rsidRPr="00000000" w14:paraId="00000039">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3A">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B">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3C">
      <w:pPr>
        <w:spacing w:line="276" w:lineRule="auto"/>
        <w:ind w:firstLine="72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3.  Classrooms for students with Hearing Impairments</w:t>
      </w:r>
    </w:p>
    <w:p w:rsidR="00000000" w:rsidDel="00000000" w:rsidP="00000000" w:rsidRDefault="00000000" w:rsidRPr="00000000" w14:paraId="0000003D">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3E">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yellow"/>
          <w:vertAlign w:val="superscript"/>
          <w:rtl w:val="0"/>
        </w:rPr>
        <w:t xml:space="preserve">th</w:t>
      </w:r>
      <w:r w:rsidDel="00000000" w:rsidR="00000000" w:rsidRPr="00000000">
        <w:rPr>
          <w:rFonts w:ascii="Open Sans" w:cs="Open Sans" w:eastAsia="Open Sans" w:hAnsi="Open Sans"/>
          <w:sz w:val="23"/>
          <w:szCs w:val="23"/>
          <w:highlight w:val="yellow"/>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F">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40">
      <w:pPr>
        <w:spacing w:line="276" w:lineRule="auto"/>
        <w:ind w:firstLine="72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4.  Autism Spectrum Disorder Classrooms</w:t>
      </w:r>
    </w:p>
    <w:p w:rsidR="00000000" w:rsidDel="00000000" w:rsidP="00000000" w:rsidRDefault="00000000" w:rsidRPr="00000000" w14:paraId="00000041">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42">
      <w:pPr>
        <w:spacing w:line="276" w:lineRule="auto"/>
        <w:ind w:left="720" w:firstLine="0"/>
        <w:rPr>
          <w:rFonts w:ascii="Open Sans" w:cs="Open Sans" w:eastAsia="Open Sans" w:hAnsi="Open Sans"/>
          <w:b w:val="1"/>
          <w:sz w:val="23"/>
          <w:szCs w:val="23"/>
          <w:highlight w:val="yellow"/>
        </w:rPr>
      </w:pPr>
      <w:r w:rsidDel="00000000" w:rsidR="00000000" w:rsidRPr="00000000">
        <w:rPr>
          <w:rFonts w:ascii="Open Sans" w:cs="Open Sans" w:eastAsia="Open Sans" w:hAnsi="Open Sans"/>
          <w:sz w:val="23"/>
          <w:szCs w:val="23"/>
          <w:highlight w:val="yellow"/>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yellow"/>
          <w:vertAlign w:val="superscript"/>
          <w:rtl w:val="0"/>
        </w:rPr>
        <w:t xml:space="preserve">th</w:t>
      </w:r>
      <w:r w:rsidDel="00000000" w:rsidR="00000000" w:rsidRPr="00000000">
        <w:rPr>
          <w:rFonts w:ascii="Open Sans" w:cs="Open Sans" w:eastAsia="Open Sans" w:hAnsi="Open Sans"/>
          <w:sz w:val="23"/>
          <w:szCs w:val="23"/>
          <w:highlight w:val="yellow"/>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43">
      <w:pPr>
        <w:spacing w:line="276" w:lineRule="auto"/>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5">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6">
      <w:pPr>
        <w:spacing w:line="276" w:lineRule="auto"/>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47">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yellow"/>
          <w:rtl w:val="0"/>
        </w:rPr>
        <w:t xml:space="preserve">Michigan Academic Standards Page,</w:t>
      </w:r>
      <w:r w:rsidDel="00000000" w:rsidR="00000000" w:rsidRPr="00000000">
        <w:rPr>
          <w:rFonts w:ascii="Open Sans" w:cs="Open Sans" w:eastAsia="Open Sans" w:hAnsi="Open Sans"/>
          <w:sz w:val="23"/>
          <w:szCs w:val="23"/>
          <w:highlight w:val="yellow"/>
          <w:rtl w:val="0"/>
        </w:rPr>
        <w:t xml:space="preserve"> on the State of Michigan website: </w:t>
      </w:r>
      <w:hyperlink r:id="rId11">
        <w:r w:rsidDel="00000000" w:rsidR="00000000" w:rsidRPr="00000000">
          <w:rPr>
            <w:rFonts w:ascii="Open Sans" w:cs="Open Sans" w:eastAsia="Open Sans" w:hAnsi="Open Sans"/>
            <w:color w:val="1155cc"/>
            <w:sz w:val="23"/>
            <w:szCs w:val="23"/>
            <w:highlight w:val="yellow"/>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yellow"/>
          <w:rtl w:val="0"/>
        </w:rPr>
        <w:t xml:space="preserve">.</w:t>
      </w:r>
    </w:p>
    <w:p w:rsidR="00000000" w:rsidDel="00000000" w:rsidP="00000000" w:rsidRDefault="00000000" w:rsidRPr="00000000" w14:paraId="00000048">
      <w:pPr>
        <w:spacing w:line="276" w:lineRule="auto"/>
        <w:ind w:left="720" w:firstLine="0"/>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49">
      <w:pPr>
        <w:spacing w:line="276" w:lineRule="auto"/>
        <w:ind w:left="720" w:firstLine="0"/>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4A">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THE AGGREGATE STUDENT ACHIEVEMENT RESULTS FOR ANY LOCAL COMPETENCY TESTS OR NATIONALLY NORMED ACHIEVEMENT TESTS</w:t>
      </w:r>
    </w:p>
    <w:p w:rsidR="00000000" w:rsidDel="00000000" w:rsidP="00000000" w:rsidRDefault="00000000" w:rsidRPr="00000000" w14:paraId="0000004B">
      <w:pPr>
        <w:ind w:left="720" w:firstLine="0"/>
        <w:rPr>
          <w:rFonts w:ascii="Open Sans" w:cs="Open Sans" w:eastAsia="Open Sans" w:hAnsi="Open Sans"/>
          <w:sz w:val="22"/>
          <w:szCs w:val="22"/>
          <w:highlight w:val="yellow"/>
        </w:rPr>
      </w:pPr>
      <w:r w:rsidDel="00000000" w:rsidR="00000000" w:rsidRPr="00000000">
        <w:rPr>
          <w:rFonts w:ascii="Verdana" w:cs="Verdana" w:eastAsia="Verdana" w:hAnsi="Verdana"/>
          <w:sz w:val="22"/>
          <w:szCs w:val="22"/>
          <w:highlight w:val="yellow"/>
          <w:rtl w:val="0"/>
        </w:rPr>
        <w:t xml:space="preserve">The AER is available for you to review electronically by visiting the following website https://bit.ly/3efzMGo, or you may review a copy in the main office at your child’s school.</w:t>
      </w:r>
      <w:r w:rsidDel="00000000" w:rsidR="00000000" w:rsidRPr="00000000">
        <w:rPr>
          <w:rtl w:val="0"/>
        </w:rPr>
      </w:r>
    </w:p>
    <w:p w:rsidR="00000000" w:rsidDel="00000000" w:rsidP="00000000" w:rsidRDefault="00000000" w:rsidRPr="00000000" w14:paraId="0000004C">
      <w:pPr>
        <w:spacing w:line="276" w:lineRule="auto"/>
        <w:ind w:left="72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IDENTIFY THE NUMBER AND PERCENT OF STUDENTS REPRESENTED BY PARENTS AT PARENT-TEACHER CONFERENCES</w:t>
      </w:r>
    </w:p>
    <w:p w:rsidR="00000000" w:rsidDel="00000000" w:rsidP="00000000" w:rsidRDefault="00000000" w:rsidRPr="00000000" w14:paraId="0000004E">
      <w:pPr>
        <w:spacing w:line="276" w:lineRule="auto"/>
        <w:ind w:left="72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04F">
      <w:pPr>
        <w:spacing w:line="276" w:lineRule="auto"/>
        <w:rPr>
          <w:rFonts w:ascii="Open Sans" w:cs="Open Sans" w:eastAsia="Open Sans" w:hAnsi="Open Sans"/>
          <w:sz w:val="22"/>
          <w:szCs w:val="22"/>
          <w:highlight w:val="yellow"/>
        </w:rPr>
      </w:pPr>
      <w:r w:rsidDel="00000000" w:rsidR="00000000" w:rsidRPr="00000000">
        <w:rPr>
          <w:rFonts w:ascii="Open Sans" w:cs="Open Sans" w:eastAsia="Open Sans" w:hAnsi="Open Sans"/>
          <w:sz w:val="23"/>
          <w:szCs w:val="23"/>
          <w:highlight w:val="yellow"/>
          <w:rtl w:val="0"/>
        </w:rPr>
        <w:t xml:space="preserve">Parent-Teacher Conference attendance increased in the fall of 2020 from the fall of 2019. In the fall of 2019 we had 82.5% attendance. In the fall of 2020, Jefferson had 95% attendance. The fall of 2021 saw a steady participation rate with 90% attendance. </w:t>
      </w:r>
      <w:r w:rsidDel="00000000" w:rsidR="00000000" w:rsidRPr="00000000">
        <w:rPr>
          <w:rtl w:val="0"/>
        </w:rPr>
      </w:r>
    </w:p>
    <w:p w:rsidR="00000000" w:rsidDel="00000000" w:rsidP="00000000" w:rsidRDefault="00000000" w:rsidRPr="00000000" w14:paraId="00000050">
      <w:pPr>
        <w:spacing w:line="276" w:lineRule="auto"/>
        <w:ind w:left="144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52">
      <w:pPr>
        <w:ind w:right="-360"/>
        <w:rPr>
          <w:rFonts w:ascii="Verdana" w:cs="Verdana" w:eastAsia="Verdana" w:hAnsi="Verdana"/>
          <w:sz w:val="22"/>
          <w:szCs w:val="22"/>
        </w:rPr>
      </w:pPr>
      <w:r w:rsidDel="00000000" w:rsidR="00000000" w:rsidRPr="00000000">
        <w:rPr>
          <w:rFonts w:ascii="Open Sans" w:cs="Open Sans" w:eastAsia="Open Sans" w:hAnsi="Open Sans"/>
          <w:sz w:val="22"/>
          <w:szCs w:val="22"/>
          <w:highlight w:val="yellow"/>
          <w:rtl w:val="0"/>
        </w:rPr>
        <w:t xml:space="preserve">We are proud of the sustainability Jefferson has shown over the years. We have many school partnerships that are committed to the success of Jefferson Elementary. Our school partnerships provide resources in academic, attendance and the social-emotional growth of our students. Our school-wide teams continue to meet on a regular basis to analyze and monitor the implementation of strategies we engage our students for their growth and development. We are looking forward to continuing to provide the best educational opportunities for our students and families.</w:t>
      </w:r>
      <w:commentRangeEnd w:id="1"/>
      <w:r w:rsidDel="00000000" w:rsidR="00000000" w:rsidRPr="00000000">
        <w:commentReference w:id="1"/>
      </w:r>
      <w:r w:rsidDel="00000000" w:rsidR="00000000" w:rsidRPr="00000000">
        <w:rPr>
          <w:rFonts w:ascii="Open Sans" w:cs="Open Sans" w:eastAsia="Open Sans" w:hAnsi="Open Sans"/>
          <w:sz w:val="22"/>
          <w:szCs w:val="22"/>
          <w:rtl w:val="0"/>
        </w:rPr>
        <w:t xml:space="preserve"> </w:t>
      </w:r>
      <w:r w:rsidDel="00000000" w:rsidR="00000000" w:rsidRPr="00000000">
        <w:rPr>
          <w:rtl w:val="0"/>
        </w:rPr>
      </w:r>
    </w:p>
    <w:p w:rsidR="00000000" w:rsidDel="00000000" w:rsidP="00000000" w:rsidRDefault="00000000" w:rsidRPr="00000000" w14:paraId="0000005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Sincerely,</w:t>
      </w:r>
      <w:r w:rsidDel="00000000" w:rsidR="00000000" w:rsidRPr="00000000">
        <w:rPr>
          <w:rtl w:val="0"/>
        </w:rPr>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Sara Folkert</w:t>
      </w:r>
    </w:p>
    <w:p w:rsidR="00000000" w:rsidDel="00000000" w:rsidP="00000000" w:rsidRDefault="00000000" w:rsidRPr="00000000" w14:paraId="00000059">
      <w:pPr>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sz w:val="22"/>
          <w:szCs w:val="22"/>
          <w:rtl w:val="0"/>
        </w:rPr>
        <w:t xml:space="preserve">Jefferson Elementary Principal</w:t>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elissa Remillard" w:id="1" w:date="2023-01-07T10:39:42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Sarah please review and edit if needed</w:t>
      </w:r>
    </w:p>
  </w:comment>
  <w:comment w:author="Melissa Remillard" w:id="0" w:date="2023-01-07T10:37:12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Sarah please edit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B" w15:done="0"/>
  <w15:commentEx w15:paraId="0000005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www.michigan.gov/mde/0,4615,7-140-28753_64839_65510---,00.html" TargetMode="Externa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WfNwBjtio4OA4Y3hwZTUmV//Q==">AMUW2mVS2U8oqKDtU3iUfKDEvSUsdfUz837fr3LYbuOOBRPhbgDb3cViyw6COIbhgvuqTced/Eg0qVPuOy3oUdoLNqlSN+Ww2wWvL2EHp4dndYn2FsVx2Kdd0kWMAPtbf2J9sD9J5nr5iiNkuZ6sR1JaUz4jc/yUJA8N1YXm3Vt4H5ZSoUVD98gBnUHY12R5y3u52qLeyjFaiLPVXeKNQ02JALbQhbV3hK+rXF8tLitP83Uv9Njf8RVnw+X4UZKbEw8PC5WGRFnZwmrTiQ8ds1b9lLbzYoABWbzsRh4g4JPlcIjYOCAAvvTdxVEYylqm8ygYVTKYamoJFrF5x0660EQddaHOSXBOj7R8alMNACVYzVbQny3lUsNAdBUfxC/+f/t4rgdMrTDkl+ObwMgQhjz9X46z4C4Q3rSg3GAfmygDjhNWJxTB3Szw1Wbc9yAvA+KjaQtSMHUCekNW6Mn1KK1/OYzUgT1OChaOZATaysjoS+yUjR5BdDIdYVbnIQ04kFJxQywSbGcB4kFwtqs/m/E415KY2GZyUKydZRm6XjD9au0fOBeFiNVgFmrtecukYbB53hIC5NEDABoufjcN2uiI0A3DXFbd3TB0NnCqhD8kDNBjtA3aOab04yA5ZXHVcm4cEY4eAZrlEAxppFrJomNFvqYhyMKZjLJld7AJYB4mlzdk5+CAdfcuAXcgmEUzTd+p4K5xzch35CM8DpF0KOjHrFcFdS38KgTu1O3YC09dk7gG8VfEUkFjAyEYViv7fGGJnI3NwQ+9hNwbPKxJCfv0j0EOgISeuYXanfU++4AkzcX5WVRvOkjrq9AgENPQut4jlr3D2kAcDMzPljRBgmbzcfPXzOoGM/DNvWyIMBBUuSV3+QrSIinbiAGYKxp7TVLZOtO/vmcEV11CuUbFVf99oFOSIKtkHSQH31Ywf3lyuXPDCYKxmF/SnVSW+cJe/vZKpScPRhrj6/vDpNwfjcU57cgVoiWAwK3t0VQzZlYPIBZvrNC+g1OFNuXmFQGKrsIJAsSIrshGyHj/2DcturR+Q3VOO4IMXp0qTiMR4sjsgIiSERqmUsEb/Em7VgwXzMs7PyzdnJz3aIAFf+fdvPpIg0kZx0Lbw8EsyTuh1vbjAS60AiGTPNLcTy75gT+kPTTbgNGYbMtqLRmtp35NqRJLsCWyMqb2LEgLgHAWcK1ovDFBCpveBuStZefEhxGqAVNUtIEqVHXkyFHbQ7kW9ddPcgXLAl8TDg2/zyH4DYroh1OsCrO9xRPznTIWZfQIZGu4jfeIyL99k3ahZCQox7ZgNHw8wNnyQXo4j98OsWSKWLHZKreuzTcCTkR2fq1MjlbEjla2QwuP088GNpJHEmyA2HtsCQ8Zur5IU0l0pTFxZa4oFmUf+THD8BjoCOcdU2FQUU05boOXMBQflZApap/Ft1miLZYBpSj5fWvXW4G1zMwN2MwmhspvUT7z9g5YhxHmV2mMzRE5RQPqROZiFKUv3q3oKHF3Pc1zmvkHKjNz0An9X2sUPir1Lwth51Y27Rr8W7DdBjC0rqx5k3dDr5e7Hf3Fh8SMylq4iOkGx9ezY0wbXBo9FzsoYzwUSioKlXGTNEdVrbhCdoRtuFIc0xVWTF5unhOi6MdpVOPE0qdM162y4tMXNwkQnfMx+y4pfVlw2Xi17HefSY00Zv09YV5T8XeZQxODofPCHxPWNf7SlkFsvh+hbcLa3epbSz8pEVI7s0AjhTqvY9xh/u2VRzEe5hwqifCyLt/MFkkeGwmyR+Iexbe5JRPlRSKU9zZyIzhiwm+HcF6tvn4SyV4K1PelQKQXLzz+UTgX1bbPMcfrDkhvsKdEi45fLGmukrj8K+8FwqUUPlJwyVrle3UlPQJm2U5+vAQqkLdOJOOPT+Yyx1CPx45R0/H8MiKEnZ5ZsI2IUTOFEt9I6n+vVUhKfpptoX+n8X63I5/wVL1MCs+S6XXlan6H3noCFhn4FOGiYC0MhjRo6Wr5KG9tVTZWUkcg+g1NIi4VissvWD6jlbxqVIssIrjC4Gg8mNX5mVxfNx0Aot51fNPti/Eic149koqBTzBpLaWQjDGZzbvU56v32nu7IfvNHlwcmfNk9XgwdVYsHzkWquPPPY3tksZqwMCVuOUNc9HclTQ0lX+Sa8ZM9QnaOdX82EjqEUV5PySA5oP+8tgBYYYCHP3V8plbetRySvuXpXogTYGy2nYRh/S64TknYwchTqgXRMKUhUTes9fKdgHuxQLNJC8E2aoRrCFGsEf3Q0SEPjBymwevAyyLjOitwwV6+J/xKG154gU77skACxSYv0lyGTSMhzVxOnsrYTyiBRW9jUyptKwZ2kIfs3cDGQtHqkH3dCwJmg621Txa3NNowQD3GFl6ZdEXjdmEdbDlT89RXKO3yy0EXsL9JGurZ+LLhBzPIcfy24do1JzpL1quqnj8GQ9+CFHITZ/OBCdKleGojdSV5xeB4MaVKNR2KoAoybXT7z8UaVwCQ7T/nWHrO4gySPnhR/AquYrqkRJ85QC6kMz1UKkbS9lgooDLLLERi4isVl3jjjR7KK8aHpsm5sQHoWDg1vSTZoA8PQ+HFfU/fiCgyl6797uuiZBcnSbLmRetOPnaBHUGnzSxJcC4Ouj81u1N4de3xrO6SD5zaMfUU6/zCmLf9o4pQIGXoHLL1ju0mR4KvwdDBcBnqfTxmL89Plq4P59p1QcHGugPa6zMAZhyZMs8RJxpwmibecUQF/oJsMfD/H6yiKIhfVRdfrJU6naKMv4QAJ6rCujp4Rs3qew682oy8dPAaXtVGZHO7pGF0d0PwJvTT5eiJqrLRQsYbUnqgQJB/MbqtR6nOSowVW2PcspWAaMcijpcO8P3C06s+gBlSa+v+V1PhthCGA8JbQpBK9wGcDN/S9Ds2AgBNAp9hhUX5QwC2rR1jANk1/AVd3Uio8MC9yMJ5CsmeMoDFU4kAM0X878j9xby6EYhnpniXV4aKXSHrTb3lM4s2Ztr9yyNA4soZj2AH+CTULQ6jpl9TaPGNqMXofy5tvMAKiMnirssNDjftE/+nIjrqy7z1uoVc5lUZTIiSRgM63nwE0E10p4ccWJeQjrMMPVwgUSgSlU8iGq57lCbbAOrbcr5HWZddtIi1ck0SXlwnXmeB2wGLAQrcDnZ765B+F/cuCzPyEyGTcqVgDlu+3y6YOjpcLDc5vDJlb2wLy9wyRXsC2Y8z+uAfc+ri0VT0YRHcCUhRtTzk4ubGoZM1banKA5Ssa8J51l9EVoviLPjkdZZfGkYKNZ5Df6J2Pyqme7n/Dj5Qo8usFZA65XjbyD1Xr4bUqSvLnSm1sBP/P7ixIKMS9L2OjWXhvtoArbvQTpQq8FJQTlsbKqY7SXrva+RmF9bflwRACzMwxLmyUNsylHrRrwexIE7KZ++puU+8k5MbgwD2HDxKNM0CcUbZ1fsL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2023-01-06T16:46:00Z</dcterms:created>
  <dc:creator>Liliana Figueroa</dc:creator>
</cp:coreProperties>
</file>