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3" name="image2.png"/>
            <a:graphic>
              <a:graphicData uri="http://schemas.openxmlformats.org/drawingml/2006/picture">
                <pic:pic>
                  <pic:nvPicPr>
                    <pic:cNvPr descr="DISTRICT_Letterhead Top_2019_fo" id="0" name="image2.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1996440" cy="12954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96440" cy="1295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January 6, 2023</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Parents and Community Members:</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educational progress for West Middle School. The AER addresses the complex reporting information required by federal and state laws. The school’s report contains information about student assessment, accountability, and teacher quality. If you have any questions about the AER, please contact Rene </w:t>
      </w:r>
      <w:r w:rsidDel="00000000" w:rsidR="00000000" w:rsidRPr="00000000">
        <w:rPr>
          <w:rFonts w:ascii="Verdana" w:cs="Verdana" w:eastAsia="Verdana" w:hAnsi="Verdana"/>
          <w:color w:val="000000"/>
          <w:sz w:val="22"/>
          <w:szCs w:val="22"/>
          <w:rtl w:val="0"/>
        </w:rPr>
        <w:t xml:space="preserve">Bair</w:t>
      </w:r>
      <w:r w:rsidDel="00000000" w:rsidR="00000000" w:rsidRPr="00000000">
        <w:rPr>
          <w:rFonts w:ascii="Verdana" w:cs="Verdana" w:eastAsia="Verdana" w:hAnsi="Verdana"/>
          <w:color w:val="000000"/>
          <w:sz w:val="22"/>
          <w:szCs w:val="22"/>
          <w:rtl w:val="0"/>
        </w:rPr>
        <w:t xml:space="preserve"> for assistance.</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w:t>
      </w:r>
      <w:r w:rsidDel="00000000" w:rsidR="00000000" w:rsidRPr="00000000">
        <w:rPr>
          <w:rFonts w:ascii="Verdana" w:cs="Verdana" w:eastAsia="Verdana" w:hAnsi="Verdana"/>
          <w:b w:val="1"/>
          <w:color w:val="000000"/>
          <w:sz w:val="22"/>
          <w:szCs w:val="22"/>
          <w:rtl w:val="0"/>
        </w:rPr>
        <w:t xml:space="preserve"> https://www.mischooldata.org/</w:t>
      </w:r>
      <w:r w:rsidDel="00000000" w:rsidR="00000000" w:rsidRPr="00000000">
        <w:rPr>
          <w:rFonts w:ascii="Verdana" w:cs="Verdana" w:eastAsia="Verdana" w:hAnsi="Verdana"/>
          <w:color w:val="000000"/>
          <w:sz w:val="22"/>
          <w:szCs w:val="22"/>
          <w:rtl w:val="0"/>
        </w:rPr>
        <w:t xml:space="preserve">, or you may review a copy in the main office at your child’s school.</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2"/>
          <w:szCs w:val="22"/>
          <w:shd w:fill="b4a7d6" w:val="clear"/>
        </w:rPr>
      </w:pPr>
      <w:r w:rsidDel="00000000" w:rsidR="00000000" w:rsidRPr="00000000">
        <w:rPr>
          <w:rFonts w:ascii="Verdana" w:cs="Verdana" w:eastAsia="Verdana" w:hAnsi="Verdana"/>
          <w:sz w:val="22"/>
          <w:szCs w:val="22"/>
          <w:rtl w:val="0"/>
        </w:rPr>
        <w:t xml:space="preserve">Our school was identified as a </w:t>
      </w:r>
      <w:r w:rsidDel="00000000" w:rsidR="00000000" w:rsidRPr="00000000">
        <w:rPr>
          <w:rFonts w:ascii="Verdana" w:cs="Verdana" w:eastAsia="Verdana" w:hAnsi="Verdana"/>
          <w:b w:val="1"/>
          <w:sz w:val="22"/>
          <w:szCs w:val="22"/>
          <w:rtl w:val="0"/>
        </w:rPr>
        <w:t xml:space="preserve">School that has not been given a label.</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Holland Middle School (HMS) serves 597 students from grades 6-8.   Extensive data digs have identified gaps in ELA achievement between white students and black, Hispanic, Economically Disadvantaged, English Learners, and Students with Disabilities.  Similar gaps were identified when looking at M-STEP scores for Math with the same subgroups performing significantly below their white counterparts.</w:t>
      </w:r>
    </w:p>
    <w:p w:rsidR="00000000" w:rsidDel="00000000" w:rsidP="00000000" w:rsidRDefault="00000000" w:rsidRPr="00000000" w14:paraId="00000011">
      <w:pPr>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In efforts to increase achievement for ALL students in the areas of ELA and Math, HMS has implemented the following areas of focus:</w:t>
      </w:r>
    </w:p>
    <w:p w:rsidR="00000000" w:rsidDel="00000000" w:rsidP="00000000" w:rsidRDefault="00000000" w:rsidRPr="00000000" w14:paraId="00000013">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Common use of IXL for skill based learning for ELA, Math, Social Studies, and Science.</w:t>
      </w:r>
    </w:p>
    <w:p w:rsidR="00000000" w:rsidDel="00000000" w:rsidP="00000000" w:rsidRDefault="00000000" w:rsidRPr="00000000" w14:paraId="00000014">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Increase of independent reading: weekly library visits and the use of Beanstack to track reading progress</w:t>
      </w:r>
    </w:p>
    <w:p w:rsidR="00000000" w:rsidDel="00000000" w:rsidP="00000000" w:rsidRDefault="00000000" w:rsidRPr="00000000" w14:paraId="00000015">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School wide flex schedule on Fridays:  DEAL, drop everything and learn- This is a time to provide additional support to students who need additional support in their classes.  </w:t>
      </w:r>
    </w:p>
    <w:p w:rsidR="00000000" w:rsidDel="00000000" w:rsidP="00000000" w:rsidRDefault="00000000" w:rsidRPr="00000000" w14:paraId="00000016">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Increased Differentiation and Math supports through Math Interventions and acceleration opportunities.  (Math 180)</w:t>
      </w:r>
    </w:p>
    <w:p w:rsidR="00000000" w:rsidDel="00000000" w:rsidP="00000000" w:rsidRDefault="00000000" w:rsidRPr="00000000" w14:paraId="00000017">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After school tutoring for identified students in Math and ELA</w:t>
      </w:r>
    </w:p>
    <w:p w:rsidR="00000000" w:rsidDel="00000000" w:rsidP="00000000" w:rsidRDefault="00000000" w:rsidRPr="00000000" w14:paraId="00000018">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Regular data reviews</w:t>
      </w:r>
    </w:p>
    <w:p w:rsidR="00000000" w:rsidDel="00000000" w:rsidP="00000000" w:rsidRDefault="00000000" w:rsidRPr="00000000" w14:paraId="00000019">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Increased Mental Health Supports (TRAILS)</w:t>
      </w:r>
    </w:p>
    <w:p w:rsidR="00000000" w:rsidDel="00000000" w:rsidP="00000000" w:rsidRDefault="00000000" w:rsidRPr="00000000" w14:paraId="0000001A">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Reading Interventions for identified students ( Read 180, Systems 44, and Seeing Stars)</w:t>
      </w:r>
    </w:p>
    <w:p w:rsidR="00000000" w:rsidDel="00000000" w:rsidP="00000000" w:rsidRDefault="00000000" w:rsidRPr="00000000" w14:paraId="0000001B">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Testing Center</w:t>
      </w:r>
    </w:p>
    <w:p w:rsidR="00000000" w:rsidDel="00000000" w:rsidP="00000000" w:rsidRDefault="00000000" w:rsidRPr="00000000" w14:paraId="0000001C">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Graduation Coach for identified students with attendance, behavior, and/or achievement concerns.</w:t>
      </w:r>
    </w:p>
    <w:p w:rsidR="00000000" w:rsidDel="00000000" w:rsidP="00000000" w:rsidRDefault="00000000" w:rsidRPr="00000000" w14:paraId="0000001D">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Tier 2 and Tier 3 Behavioral and Academic Support Team meetings</w:t>
      </w:r>
    </w:p>
    <w:p w:rsidR="00000000" w:rsidDel="00000000" w:rsidP="00000000" w:rsidRDefault="00000000" w:rsidRPr="00000000" w14:paraId="0000001E">
      <w:pPr>
        <w:numPr>
          <w:ilvl w:val="0"/>
          <w:numId w:val="4"/>
        </w:numPr>
        <w:spacing w:line="276" w:lineRule="auto"/>
        <w:ind w:left="72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Implementation of an attendance team</w:t>
      </w:r>
      <w:r w:rsidDel="00000000" w:rsidR="00000000" w:rsidRPr="00000000">
        <w:rPr>
          <w:rtl w:val="0"/>
        </w:rPr>
      </w:r>
    </w:p>
    <w:p w:rsidR="00000000" w:rsidDel="00000000" w:rsidP="00000000" w:rsidRDefault="00000000" w:rsidRPr="00000000" w14:paraId="0000001F">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20">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State law requires that we also report additional information. </w:t>
      </w:r>
    </w:p>
    <w:p w:rsidR="00000000" w:rsidDel="00000000" w:rsidP="00000000" w:rsidRDefault="00000000" w:rsidRPr="00000000" w14:paraId="00000021">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PROCESS FOR ASSIGNING PUPILS TO THE SCHOOL</w:t>
      </w:r>
    </w:p>
    <w:p w:rsidR="00000000" w:rsidDel="00000000" w:rsidP="00000000" w:rsidRDefault="00000000" w:rsidRPr="00000000" w14:paraId="00000022">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Board Policy 5120 - ASSIGNMENT TO SCHOOL, CLASS, AND GRADE for Holland Public Schools</w:t>
      </w:r>
    </w:p>
    <w:p w:rsidR="00000000" w:rsidDel="00000000" w:rsidP="00000000" w:rsidRDefault="00000000" w:rsidRPr="00000000" w14:paraId="00000023">
      <w:pPr>
        <w:spacing w:line="276" w:lineRule="auto"/>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w:t>
      </w:r>
    </w:p>
    <w:p w:rsidR="00000000" w:rsidDel="00000000" w:rsidP="00000000" w:rsidRDefault="00000000" w:rsidRPr="00000000" w14:paraId="00000024">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25">
      <w:pPr>
        <w:spacing w:line="276"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26">
      <w:pPr>
        <w:numPr>
          <w:ilvl w:val="0"/>
          <w:numId w:val="3"/>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School Assignment/Transfer</w:t>
      </w:r>
    </w:p>
    <w:p w:rsidR="00000000" w:rsidDel="00000000" w:rsidP="00000000" w:rsidRDefault="00000000" w:rsidRPr="00000000" w14:paraId="00000027">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28">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29">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2A">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2B">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2C">
      <w:pPr>
        <w:numPr>
          <w:ilvl w:val="0"/>
          <w:numId w:val="3"/>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Class and Grade Assignment/Transfer</w:t>
      </w:r>
    </w:p>
    <w:p w:rsidR="00000000" w:rsidDel="00000000" w:rsidP="00000000" w:rsidRDefault="00000000" w:rsidRPr="00000000" w14:paraId="0000002D">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Assignments to class and grade shall be made by the principal after consultation with relevant staff.</w:t>
      </w:r>
    </w:p>
    <w:p w:rsidR="00000000" w:rsidDel="00000000" w:rsidP="00000000" w:rsidRDefault="00000000" w:rsidRPr="00000000" w14:paraId="0000002E">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2F">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30">
      <w:pPr>
        <w:numPr>
          <w:ilvl w:val="0"/>
          <w:numId w:val="3"/>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following procedures shall be followed in a transfer of a student within a school:</w:t>
      </w:r>
    </w:p>
    <w:p w:rsidR="00000000" w:rsidDel="00000000" w:rsidP="00000000" w:rsidRDefault="00000000" w:rsidRPr="00000000" w14:paraId="00000031">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32">
      <w:pPr>
        <w:numPr>
          <w:ilvl w:val="1"/>
          <w:numId w:val="3"/>
        </w:numPr>
        <w:spacing w:line="276" w:lineRule="auto"/>
        <w:ind w:left="2160" w:hanging="36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33">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4">
      <w:pPr>
        <w:spacing w:line="276" w:lineRule="auto"/>
        <w:ind w:left="720" w:firstLine="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r w:rsidDel="00000000" w:rsidR="00000000" w:rsidRPr="00000000">
        <w:rPr>
          <w:rtl w:val="0"/>
        </w:rPr>
      </w:r>
    </w:p>
    <w:p w:rsidR="00000000" w:rsidDel="00000000" w:rsidP="00000000" w:rsidRDefault="00000000" w:rsidRPr="00000000" w14:paraId="00000035">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STATUS OF THE 3-5 YEAR SCHOOL IMPROVEMENT PLAN</w:t>
      </w:r>
    </w:p>
    <w:p w:rsidR="00000000" w:rsidDel="00000000" w:rsidP="00000000" w:rsidRDefault="00000000" w:rsidRPr="00000000" w14:paraId="00000036">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HMS has the following 3 goals in its School Improvement Plan:</w:t>
      </w:r>
    </w:p>
    <w:p w:rsidR="00000000" w:rsidDel="00000000" w:rsidP="00000000" w:rsidRDefault="00000000" w:rsidRPr="00000000" w14:paraId="00000037">
      <w:pPr>
        <w:numPr>
          <w:ilvl w:val="1"/>
          <w:numId w:val="1"/>
        </w:numPr>
        <w:spacing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b w:val="1"/>
          <w:color w:val="4a4a4a"/>
          <w:sz w:val="23"/>
          <w:szCs w:val="23"/>
          <w:highlight w:val="white"/>
          <w:rtl w:val="0"/>
        </w:rPr>
        <w:t xml:space="preserve">Goal 1:</w:t>
      </w:r>
      <w:r w:rsidDel="00000000" w:rsidR="00000000" w:rsidRPr="00000000">
        <w:rPr>
          <w:rFonts w:ascii="Open Sans" w:cs="Open Sans" w:eastAsia="Open Sans" w:hAnsi="Open Sans"/>
          <w:color w:val="4a4a4a"/>
          <w:sz w:val="23"/>
          <w:szCs w:val="23"/>
          <w:highlight w:val="white"/>
          <w:rtl w:val="0"/>
        </w:rPr>
        <w:t xml:space="preserve">  All students will be able to read and write well and independently at grade level. </w:t>
      </w:r>
      <w:r w:rsidDel="00000000" w:rsidR="00000000" w:rsidRPr="00000000">
        <w:rPr>
          <w:rtl w:val="0"/>
        </w:rPr>
      </w:r>
    </w:p>
    <w:p w:rsidR="00000000" w:rsidDel="00000000" w:rsidP="00000000" w:rsidRDefault="00000000" w:rsidRPr="00000000" w14:paraId="00000038">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1440" w:hanging="360"/>
        <w:rPr>
          <w:rFonts w:ascii="Open Sans" w:cs="Open Sans" w:eastAsia="Open Sans" w:hAnsi="Open Sans"/>
          <w:sz w:val="23"/>
          <w:szCs w:val="23"/>
          <w:highlight w:val="white"/>
        </w:rPr>
      </w:pPr>
      <w:r w:rsidDel="00000000" w:rsidR="00000000" w:rsidRPr="00000000">
        <w:rPr>
          <w:rFonts w:ascii="Open Sans" w:cs="Open Sans" w:eastAsia="Open Sans" w:hAnsi="Open Sans"/>
          <w:b w:val="1"/>
          <w:color w:val="4a4a4a"/>
          <w:sz w:val="23"/>
          <w:szCs w:val="23"/>
          <w:highlight w:val="white"/>
          <w:rtl w:val="0"/>
        </w:rPr>
        <w:t xml:space="preserve">Goal 2: </w:t>
      </w:r>
      <w:r w:rsidDel="00000000" w:rsidR="00000000" w:rsidRPr="00000000">
        <w:rPr>
          <w:rFonts w:ascii="Open Sans" w:cs="Open Sans" w:eastAsia="Open Sans" w:hAnsi="Open Sans"/>
          <w:color w:val="424242"/>
          <w:sz w:val="23"/>
          <w:szCs w:val="23"/>
          <w:highlight w:val="white"/>
          <w:rtl w:val="0"/>
        </w:rPr>
        <w:t xml:space="preserve">Social Competency-All students and staff will be afforded powerful learning opportunities in safe, secure, and predictable learning environments.</w:t>
      </w:r>
    </w:p>
    <w:p w:rsidR="00000000" w:rsidDel="00000000" w:rsidP="00000000" w:rsidRDefault="00000000" w:rsidRPr="00000000" w14:paraId="00000039">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after="220" w:line="276" w:lineRule="auto"/>
        <w:ind w:left="1440" w:hanging="360"/>
        <w:rPr>
          <w:rFonts w:ascii="Open Sans" w:cs="Open Sans" w:eastAsia="Open Sans" w:hAnsi="Open Sans"/>
          <w:color w:val="424242"/>
          <w:sz w:val="23"/>
          <w:szCs w:val="23"/>
          <w:highlight w:val="white"/>
        </w:rPr>
      </w:pPr>
      <w:r w:rsidDel="00000000" w:rsidR="00000000" w:rsidRPr="00000000">
        <w:rPr>
          <w:rFonts w:ascii="Open Sans" w:cs="Open Sans" w:eastAsia="Open Sans" w:hAnsi="Open Sans"/>
          <w:b w:val="1"/>
          <w:color w:val="424242"/>
          <w:sz w:val="23"/>
          <w:szCs w:val="23"/>
          <w:highlight w:val="white"/>
          <w:rtl w:val="0"/>
        </w:rPr>
        <w:t xml:space="preserve">Goal 3:</w:t>
      </w:r>
      <w:r w:rsidDel="00000000" w:rsidR="00000000" w:rsidRPr="00000000">
        <w:rPr>
          <w:rFonts w:ascii="Open Sans" w:cs="Open Sans" w:eastAsia="Open Sans" w:hAnsi="Open Sans"/>
          <w:color w:val="424242"/>
          <w:sz w:val="23"/>
          <w:szCs w:val="23"/>
          <w:highlight w:val="white"/>
          <w:rtl w:val="0"/>
        </w:rPr>
        <w:t xml:space="preserve">  Recruitment/Retention</w:t>
      </w:r>
      <w:r w:rsidDel="00000000" w:rsidR="00000000" w:rsidRPr="00000000">
        <w:rPr>
          <w:rFonts w:ascii="Open Sans" w:cs="Open Sans" w:eastAsia="Open Sans" w:hAnsi="Open Sans"/>
          <w:color w:val="424242"/>
          <w:sz w:val="23"/>
          <w:szCs w:val="23"/>
          <w:highlight w:val="white"/>
          <w:u w:val="single"/>
          <w:rtl w:val="0"/>
        </w:rPr>
        <w:t xml:space="preserve">:</w:t>
      </w:r>
      <w:r w:rsidDel="00000000" w:rsidR="00000000" w:rsidRPr="00000000">
        <w:rPr>
          <w:rFonts w:ascii="Open Sans" w:cs="Open Sans" w:eastAsia="Open Sans" w:hAnsi="Open Sans"/>
          <w:color w:val="424242"/>
          <w:sz w:val="23"/>
          <w:szCs w:val="23"/>
          <w:highlight w:val="white"/>
          <w:rtl w:val="0"/>
        </w:rPr>
        <w:t xml:space="preserve"> The District will retain current students/families of the district and recruit a 20% increase in the market share of students/families who reside in the school district.</w:t>
      </w:r>
    </w:p>
    <w:p w:rsidR="00000000" w:rsidDel="00000000" w:rsidP="00000000" w:rsidRDefault="00000000" w:rsidRPr="00000000" w14:paraId="0000003A">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3B">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A BRIEF DESCRIPTION OF EACH SPECIALIZED SCHOOL</w:t>
      </w:r>
    </w:p>
    <w:p w:rsidR="00000000" w:rsidDel="00000000" w:rsidP="00000000" w:rsidRDefault="00000000" w:rsidRPr="00000000" w14:paraId="0000003C">
      <w:pPr>
        <w:spacing w:line="276" w:lineRule="auto"/>
        <w:ind w:left="0"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 Classrooms for students with Hearing Impairments</w:t>
      </w:r>
    </w:p>
    <w:p w:rsidR="00000000" w:rsidDel="00000000" w:rsidP="00000000" w:rsidRDefault="00000000" w:rsidRPr="00000000" w14:paraId="0000003D">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3E">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3F">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0">
      <w:pPr>
        <w:spacing w:line="276" w:lineRule="auto"/>
        <w:ind w:firstLine="72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Autism Spectrum Disorder Classrooms</w:t>
      </w:r>
    </w:p>
    <w:p w:rsidR="00000000" w:rsidDel="00000000" w:rsidP="00000000" w:rsidRDefault="00000000" w:rsidRPr="00000000" w14:paraId="00000041">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2">
      <w:pPr>
        <w:spacing w:line="276" w:lineRule="auto"/>
        <w:ind w:left="720" w:firstLine="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Three Special Education Programs designed to serve preschool through 12</w:t>
      </w:r>
      <w:r w:rsidDel="00000000" w:rsidR="00000000" w:rsidRPr="00000000">
        <w:rPr>
          <w:rFonts w:ascii="Open Sans" w:cs="Open Sans" w:eastAsia="Open Sans" w:hAnsi="Open Sans"/>
          <w:sz w:val="23"/>
          <w:szCs w:val="23"/>
          <w:highlight w:val="white"/>
          <w:vertAlign w:val="superscript"/>
          <w:rtl w:val="0"/>
        </w:rPr>
        <w:t xml:space="preserve">th</w:t>
      </w:r>
      <w:r w:rsidDel="00000000" w:rsidR="00000000" w:rsidRPr="00000000">
        <w:rPr>
          <w:rFonts w:ascii="Open Sans" w:cs="Open Sans" w:eastAsia="Open Sans" w:hAnsi="Open Sans"/>
          <w:sz w:val="23"/>
          <w:szCs w:val="23"/>
          <w:highlight w:val="white"/>
          <w:rtl w:val="0"/>
        </w:rPr>
        <w:t xml:space="preserve">  grade students with ASD.  These classrooms operate according to the regulations defined by the Individuals with Disabilities Education Act (IDEA) and the Michigan Administrative Rules for Special Education (R 340.1758).</w:t>
      </w:r>
      <w:r w:rsidDel="00000000" w:rsidR="00000000" w:rsidRPr="00000000">
        <w:rPr>
          <w:rtl w:val="0"/>
        </w:rPr>
      </w:r>
    </w:p>
    <w:p w:rsidR="00000000" w:rsidDel="00000000" w:rsidP="00000000" w:rsidRDefault="00000000" w:rsidRPr="00000000" w14:paraId="00000043">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44">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through 2020.  </w:t>
      </w:r>
    </w:p>
    <w:p w:rsidR="00000000" w:rsidDel="00000000" w:rsidP="00000000" w:rsidRDefault="00000000" w:rsidRPr="00000000" w14:paraId="00000045">
      <w:pPr>
        <w:spacing w:line="276" w:lineRule="auto"/>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46">
      <w:pPr>
        <w:spacing w:line="276"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highlight w:val="white"/>
          <w:rtl w:val="0"/>
        </w:rPr>
        <w:t xml:space="preserve">Michigan Academic Standards Page,</w:t>
      </w:r>
      <w:r w:rsidDel="00000000" w:rsidR="00000000" w:rsidRPr="00000000">
        <w:rPr>
          <w:rFonts w:ascii="Open Sans" w:cs="Open Sans" w:eastAsia="Open Sans" w:hAnsi="Open Sans"/>
          <w:sz w:val="23"/>
          <w:szCs w:val="23"/>
          <w:highlight w:val="white"/>
          <w:rtl w:val="0"/>
        </w:rPr>
        <w:t xml:space="preserve"> on the State of Michigan website: </w:t>
      </w:r>
      <w:hyperlink r:id="rId9">
        <w:r w:rsidDel="00000000" w:rsidR="00000000" w:rsidRPr="00000000">
          <w:rPr>
            <w:rFonts w:ascii="Open Sans" w:cs="Open Sans" w:eastAsia="Open Sans" w:hAnsi="Open Sans"/>
            <w:color w:val="1155cc"/>
            <w:sz w:val="23"/>
            <w:szCs w:val="23"/>
            <w:highlight w:val="white"/>
            <w:u w:val="single"/>
            <w:rtl w:val="0"/>
          </w:rPr>
          <w:t xml:space="preserve">http://www.michigan.gov/mde/0,4615,7-140-28753_64839_65510---,00.html</w:t>
        </w:r>
      </w:hyperlink>
      <w:r w:rsidDel="00000000" w:rsidR="00000000" w:rsidRPr="00000000">
        <w:rPr>
          <w:rFonts w:ascii="Open Sans" w:cs="Open Sans" w:eastAsia="Open Sans" w:hAnsi="Open Sans"/>
          <w:sz w:val="23"/>
          <w:szCs w:val="23"/>
          <w:highlight w:val="white"/>
          <w:rtl w:val="0"/>
        </w:rPr>
        <w:t xml:space="preserve">.</w:t>
      </w:r>
    </w:p>
    <w:p w:rsidR="00000000" w:rsidDel="00000000" w:rsidP="00000000" w:rsidRDefault="00000000" w:rsidRPr="00000000" w14:paraId="00000047">
      <w:pPr>
        <w:spacing w:line="276" w:lineRule="auto"/>
        <w:ind w:left="720" w:firstLine="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r w:rsidDel="00000000" w:rsidR="00000000" w:rsidRPr="00000000">
        <w:rPr>
          <w:rtl w:val="0"/>
        </w:rPr>
      </w:r>
    </w:p>
    <w:p w:rsidR="00000000" w:rsidDel="00000000" w:rsidP="00000000" w:rsidRDefault="00000000" w:rsidRPr="00000000" w14:paraId="00000048">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AGGREGATE STUDENT ACHIEVEMENT RESULTS FOR ANY LOCAL COMPETENCY TESTS OR NATIONALLY NORMED ACHIEVEMENT TESTS</w:t>
      </w:r>
    </w:p>
    <w:p w:rsidR="00000000" w:rsidDel="00000000" w:rsidP="00000000" w:rsidRDefault="00000000" w:rsidRPr="00000000" w14:paraId="00000049">
      <w:pPr>
        <w:spacing w:after="200" w:lineRule="auto"/>
        <w:ind w:left="720" w:firstLine="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In 2021-2022, MSTEP and PSAT were administered to 6th-8th grades.  Below is the last three year’s of data for both MSTEP and PSAT.  Note that in 2019-2020 Michigan did not administer the MSTEP or PSAT, due to COVID.</w:t>
      </w:r>
    </w:p>
    <w:p w:rsidR="00000000" w:rsidDel="00000000" w:rsidP="00000000" w:rsidRDefault="00000000" w:rsidRPr="00000000" w14:paraId="0000004A">
      <w:pPr>
        <w:spacing w:after="200" w:lineRule="auto"/>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MSTEP and PSAT Data 2020-2021  </w:t>
      </w:r>
    </w:p>
    <w:p w:rsidR="00000000" w:rsidDel="00000000" w:rsidP="00000000" w:rsidRDefault="00000000" w:rsidRPr="00000000" w14:paraId="0000004B">
      <w:pPr>
        <w:spacing w:after="200" w:lineRule="auto"/>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Note: 6th/7th graders took MSTEP while 8th grade took PSAT for both ELA and MATH assessments.  </w:t>
      </w:r>
    </w:p>
    <w:p w:rsidR="00000000" w:rsidDel="00000000" w:rsidP="00000000" w:rsidRDefault="00000000" w:rsidRPr="00000000" w14:paraId="0000004C">
      <w:pPr>
        <w:spacing w:after="200" w:lineRule="auto"/>
        <w:ind w:firstLine="72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MSTEP and PSAT: ELA</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2970"/>
        <w:gridCol w:w="3045"/>
        <w:gridCol w:w="3405"/>
        <w:tblGridChange w:id="0">
          <w:tblGrid>
            <w:gridCol w:w="1380"/>
            <w:gridCol w:w="2970"/>
            <w:gridCol w:w="3045"/>
            <w:gridCol w:w="340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D">
            <w:pPr>
              <w:widowControl w:val="0"/>
              <w:rPr>
                <w:rFonts w:ascii="Open Sans" w:cs="Open Sans" w:eastAsia="Open Sans" w:hAnsi="Open Sans"/>
                <w:sz w:val="22"/>
                <w:szCs w:val="22"/>
                <w:highlight w:val="whit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ELA 2018-2019</w:t>
            </w:r>
          </w:p>
        </w:tc>
        <w:tc>
          <w:tcPr>
            <w:tcMar>
              <w:top w:w="100.0" w:type="dxa"/>
              <w:left w:w="100.0" w:type="dxa"/>
              <w:bottom w:w="100.0" w:type="dxa"/>
              <w:right w:w="100.0" w:type="dxa"/>
            </w:tcMar>
            <w:vAlign w:val="top"/>
          </w:tcPr>
          <w:p w:rsidR="00000000" w:rsidDel="00000000" w:rsidP="00000000" w:rsidRDefault="00000000" w:rsidRPr="00000000" w14:paraId="0000004F">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ELA 2020-2021</w:t>
            </w:r>
          </w:p>
        </w:tc>
        <w:tc>
          <w:tcPr>
            <w:tcMar>
              <w:top w:w="100.0" w:type="dxa"/>
              <w:left w:w="100.0" w:type="dxa"/>
              <w:bottom w:w="100.0" w:type="dxa"/>
              <w:right w:w="100.0" w:type="dxa"/>
            </w:tcMar>
            <w:vAlign w:val="top"/>
          </w:tcPr>
          <w:p w:rsidR="00000000" w:rsidDel="00000000" w:rsidP="00000000" w:rsidRDefault="00000000" w:rsidRPr="00000000" w14:paraId="00000050">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ELA 2021-2022</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1">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6th Grade</w:t>
            </w:r>
          </w:p>
        </w:tc>
        <w:tc>
          <w:tcPr>
            <w:tcMar>
              <w:top w:w="100.0" w:type="dxa"/>
              <w:left w:w="100.0" w:type="dxa"/>
              <w:bottom w:w="100.0" w:type="dxa"/>
              <w:right w:w="100.0" w:type="dxa"/>
            </w:tcMar>
            <w:vAlign w:val="top"/>
          </w:tcPr>
          <w:p w:rsidR="00000000" w:rsidDel="00000000" w:rsidP="00000000" w:rsidRDefault="00000000" w:rsidRPr="00000000" w14:paraId="00000052">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41.7%</w:t>
            </w:r>
          </w:p>
        </w:tc>
        <w:tc>
          <w:tcPr>
            <w:tcMar>
              <w:top w:w="100.0" w:type="dxa"/>
              <w:left w:w="100.0" w:type="dxa"/>
              <w:bottom w:w="100.0" w:type="dxa"/>
              <w:right w:w="100.0" w:type="dxa"/>
            </w:tcMar>
            <w:vAlign w:val="top"/>
          </w:tcPr>
          <w:p w:rsidR="00000000" w:rsidDel="00000000" w:rsidP="00000000" w:rsidRDefault="00000000" w:rsidRPr="00000000" w14:paraId="00000053">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38.6%</w:t>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25.9%</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5">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7th Grade</w:t>
            </w:r>
          </w:p>
        </w:tc>
        <w:tc>
          <w:tcPr>
            <w:tcMar>
              <w:top w:w="100.0" w:type="dxa"/>
              <w:left w:w="100.0" w:type="dxa"/>
              <w:bottom w:w="100.0" w:type="dxa"/>
              <w:right w:w="100.0" w:type="dxa"/>
            </w:tcMar>
            <w:vAlign w:val="top"/>
          </w:tcPr>
          <w:p w:rsidR="00000000" w:rsidDel="00000000" w:rsidP="00000000" w:rsidRDefault="00000000" w:rsidRPr="00000000" w14:paraId="00000056">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42.7%</w:t>
            </w:r>
          </w:p>
        </w:tc>
        <w:tc>
          <w:tcPr>
            <w:tcMar>
              <w:top w:w="100.0" w:type="dxa"/>
              <w:left w:w="100.0" w:type="dxa"/>
              <w:bottom w:w="100.0" w:type="dxa"/>
              <w:right w:w="100.0" w:type="dxa"/>
            </w:tcMar>
            <w:vAlign w:val="top"/>
          </w:tcPr>
          <w:p w:rsidR="00000000" w:rsidDel="00000000" w:rsidP="00000000" w:rsidRDefault="00000000" w:rsidRPr="00000000" w14:paraId="00000057">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40.7%</w:t>
            </w:r>
          </w:p>
        </w:tc>
        <w:tc>
          <w:tcPr>
            <w:tcMar>
              <w:top w:w="100.0" w:type="dxa"/>
              <w:left w:w="100.0" w:type="dxa"/>
              <w:bottom w:w="100.0" w:type="dxa"/>
              <w:right w:w="100.0" w:type="dxa"/>
            </w:tcMar>
            <w:vAlign w:val="top"/>
          </w:tcPr>
          <w:p w:rsidR="00000000" w:rsidDel="00000000" w:rsidP="00000000" w:rsidRDefault="00000000" w:rsidRPr="00000000" w14:paraId="00000058">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29.4%</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9">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8th Grade</w:t>
            </w:r>
          </w:p>
        </w:tc>
        <w:tc>
          <w:tcPr>
            <w:tcMar>
              <w:top w:w="100.0" w:type="dxa"/>
              <w:left w:w="100.0" w:type="dxa"/>
              <w:bottom w:w="100.0" w:type="dxa"/>
              <w:right w:w="100.0" w:type="dxa"/>
            </w:tcMar>
            <w:vAlign w:val="top"/>
          </w:tcPr>
          <w:p w:rsidR="00000000" w:rsidDel="00000000" w:rsidP="00000000" w:rsidRDefault="00000000" w:rsidRPr="00000000" w14:paraId="0000005A">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61.9%</w:t>
            </w:r>
          </w:p>
        </w:tc>
        <w:tc>
          <w:tcPr>
            <w:tcMar>
              <w:top w:w="100.0" w:type="dxa"/>
              <w:left w:w="100.0" w:type="dxa"/>
              <w:bottom w:w="100.0" w:type="dxa"/>
              <w:right w:w="100.0" w:type="dxa"/>
            </w:tcMar>
            <w:vAlign w:val="top"/>
          </w:tcPr>
          <w:p w:rsidR="00000000" w:rsidDel="00000000" w:rsidP="00000000" w:rsidRDefault="00000000" w:rsidRPr="00000000" w14:paraId="0000005B">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63.6%</w:t>
            </w:r>
          </w:p>
        </w:tc>
        <w:tc>
          <w:tcPr>
            <w:tcMar>
              <w:top w:w="100.0" w:type="dxa"/>
              <w:left w:w="100.0" w:type="dxa"/>
              <w:bottom w:w="100.0" w:type="dxa"/>
              <w:right w:w="100.0" w:type="dxa"/>
            </w:tcMar>
            <w:vAlign w:val="top"/>
          </w:tcPr>
          <w:p w:rsidR="00000000" w:rsidDel="00000000" w:rsidP="00000000" w:rsidRDefault="00000000" w:rsidRPr="00000000" w14:paraId="0000005C">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53.5%</w:t>
            </w:r>
          </w:p>
        </w:tc>
      </w:tr>
    </w:tbl>
    <w:p w:rsidR="00000000" w:rsidDel="00000000" w:rsidP="00000000" w:rsidRDefault="00000000" w:rsidRPr="00000000" w14:paraId="0000005D">
      <w:pPr>
        <w:spacing w:after="200" w:lineRule="auto"/>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5E">
      <w:pPr>
        <w:spacing w:after="200" w:lineRule="auto"/>
        <w:ind w:firstLine="72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MSTEP and PSAT: Math</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2955"/>
        <w:gridCol w:w="3705"/>
        <w:gridCol w:w="2760"/>
        <w:tblGridChange w:id="0">
          <w:tblGrid>
            <w:gridCol w:w="1380"/>
            <w:gridCol w:w="2955"/>
            <w:gridCol w:w="3705"/>
            <w:gridCol w:w="2760"/>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F">
            <w:pPr>
              <w:widowControl w:val="0"/>
              <w:rPr>
                <w:rFonts w:ascii="Open Sans" w:cs="Open Sans" w:eastAsia="Open Sans" w:hAnsi="Open Sans"/>
                <w:sz w:val="22"/>
                <w:szCs w:val="22"/>
                <w:highlight w:val="whit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0">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Math 2018-2019</w:t>
            </w:r>
          </w:p>
        </w:tc>
        <w:tc>
          <w:tcPr>
            <w:tcMar>
              <w:top w:w="100.0" w:type="dxa"/>
              <w:left w:w="100.0" w:type="dxa"/>
              <w:bottom w:w="100.0" w:type="dxa"/>
              <w:right w:w="100.0" w:type="dxa"/>
            </w:tcMar>
            <w:vAlign w:val="top"/>
          </w:tcPr>
          <w:p w:rsidR="00000000" w:rsidDel="00000000" w:rsidP="00000000" w:rsidRDefault="00000000" w:rsidRPr="00000000" w14:paraId="00000061">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Math 2020-2021</w:t>
            </w:r>
          </w:p>
        </w:tc>
        <w:tc>
          <w:tcPr>
            <w:tcMar>
              <w:top w:w="100.0" w:type="dxa"/>
              <w:left w:w="100.0" w:type="dxa"/>
              <w:bottom w:w="100.0" w:type="dxa"/>
              <w:right w:w="100.0" w:type="dxa"/>
            </w:tcMar>
            <w:vAlign w:val="top"/>
          </w:tcPr>
          <w:p w:rsidR="00000000" w:rsidDel="00000000" w:rsidP="00000000" w:rsidRDefault="00000000" w:rsidRPr="00000000" w14:paraId="00000062">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Percentage of Proficiency Math 2021-2022</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3">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6th Grade</w:t>
            </w:r>
          </w:p>
        </w:tc>
        <w:tc>
          <w:tcPr>
            <w:tcMar>
              <w:top w:w="100.0" w:type="dxa"/>
              <w:left w:w="100.0" w:type="dxa"/>
              <w:bottom w:w="100.0" w:type="dxa"/>
              <w:right w:w="100.0" w:type="dxa"/>
            </w:tcMar>
            <w:vAlign w:val="top"/>
          </w:tcPr>
          <w:p w:rsidR="00000000" w:rsidDel="00000000" w:rsidP="00000000" w:rsidRDefault="00000000" w:rsidRPr="00000000" w14:paraId="00000064">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35.1%</w:t>
            </w:r>
          </w:p>
        </w:tc>
        <w:tc>
          <w:tcPr>
            <w:tcMar>
              <w:top w:w="100.0" w:type="dxa"/>
              <w:left w:w="100.0" w:type="dxa"/>
              <w:bottom w:w="100.0" w:type="dxa"/>
              <w:right w:w="100.0" w:type="dxa"/>
            </w:tcMar>
            <w:vAlign w:val="top"/>
          </w:tcPr>
          <w:p w:rsidR="00000000" w:rsidDel="00000000" w:rsidP="00000000" w:rsidRDefault="00000000" w:rsidRPr="00000000" w14:paraId="00000065">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28.6%</w:t>
            </w:r>
          </w:p>
        </w:tc>
        <w:tc>
          <w:tcPr>
            <w:tcMar>
              <w:top w:w="100.0" w:type="dxa"/>
              <w:left w:w="100.0" w:type="dxa"/>
              <w:bottom w:w="100.0" w:type="dxa"/>
              <w:right w:w="100.0" w:type="dxa"/>
            </w:tcMar>
            <w:vAlign w:val="top"/>
          </w:tcPr>
          <w:p w:rsidR="00000000" w:rsidDel="00000000" w:rsidP="00000000" w:rsidRDefault="00000000" w:rsidRPr="00000000" w14:paraId="00000066">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17.5%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7">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7th Grade</w:t>
            </w:r>
          </w:p>
        </w:tc>
        <w:tc>
          <w:tcPr>
            <w:tcMar>
              <w:top w:w="100.0" w:type="dxa"/>
              <w:left w:w="100.0" w:type="dxa"/>
              <w:bottom w:w="100.0" w:type="dxa"/>
              <w:right w:w="100.0" w:type="dxa"/>
            </w:tcMar>
            <w:vAlign w:val="top"/>
          </w:tcPr>
          <w:p w:rsidR="00000000" w:rsidDel="00000000" w:rsidP="00000000" w:rsidRDefault="00000000" w:rsidRPr="00000000" w14:paraId="00000068">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35.7%</w:t>
            </w:r>
          </w:p>
        </w:tc>
        <w:tc>
          <w:tcPr>
            <w:tcMar>
              <w:top w:w="100.0" w:type="dxa"/>
              <w:left w:w="100.0" w:type="dxa"/>
              <w:bottom w:w="100.0" w:type="dxa"/>
              <w:right w:w="100.0" w:type="dxa"/>
            </w:tcMar>
            <w:vAlign w:val="top"/>
          </w:tcPr>
          <w:p w:rsidR="00000000" w:rsidDel="00000000" w:rsidP="00000000" w:rsidRDefault="00000000" w:rsidRPr="00000000" w14:paraId="00000069">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32.3%</w:t>
            </w:r>
          </w:p>
        </w:tc>
        <w:tc>
          <w:tcPr>
            <w:tcMar>
              <w:top w:w="100.0" w:type="dxa"/>
              <w:left w:w="100.0" w:type="dxa"/>
              <w:bottom w:w="100.0" w:type="dxa"/>
              <w:right w:w="100.0" w:type="dxa"/>
            </w:tcMar>
            <w:vAlign w:val="top"/>
          </w:tcPr>
          <w:p w:rsidR="00000000" w:rsidDel="00000000" w:rsidP="00000000" w:rsidRDefault="00000000" w:rsidRPr="00000000" w14:paraId="0000006A">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14.9%</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B">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8th Grade</w:t>
            </w:r>
          </w:p>
        </w:tc>
        <w:tc>
          <w:tcPr>
            <w:tcMar>
              <w:top w:w="100.0" w:type="dxa"/>
              <w:left w:w="100.0" w:type="dxa"/>
              <w:bottom w:w="100.0" w:type="dxa"/>
              <w:right w:w="100.0" w:type="dxa"/>
            </w:tcMar>
            <w:vAlign w:val="top"/>
          </w:tcPr>
          <w:p w:rsidR="00000000" w:rsidDel="00000000" w:rsidP="00000000" w:rsidRDefault="00000000" w:rsidRPr="00000000" w14:paraId="0000006C">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41.4%</w:t>
            </w:r>
          </w:p>
        </w:tc>
        <w:tc>
          <w:tcPr>
            <w:tcMar>
              <w:top w:w="100.0" w:type="dxa"/>
              <w:left w:w="100.0" w:type="dxa"/>
              <w:bottom w:w="100.0" w:type="dxa"/>
              <w:right w:w="100.0" w:type="dxa"/>
            </w:tcMar>
            <w:vAlign w:val="top"/>
          </w:tcPr>
          <w:p w:rsidR="00000000" w:rsidDel="00000000" w:rsidP="00000000" w:rsidRDefault="00000000" w:rsidRPr="00000000" w14:paraId="0000006D">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36.0%</w:t>
            </w:r>
          </w:p>
        </w:tc>
        <w:tc>
          <w:tcPr>
            <w:tcMar>
              <w:top w:w="100.0" w:type="dxa"/>
              <w:left w:w="100.0" w:type="dxa"/>
              <w:bottom w:w="100.0" w:type="dxa"/>
              <w:right w:w="100.0" w:type="dxa"/>
            </w:tcMar>
            <w:vAlign w:val="top"/>
          </w:tcPr>
          <w:p w:rsidR="00000000" w:rsidDel="00000000" w:rsidP="00000000" w:rsidRDefault="00000000" w:rsidRPr="00000000" w14:paraId="0000006E">
            <w:pPr>
              <w:widowControl w:val="0"/>
              <w:rPr>
                <w:rFonts w:ascii="Open Sans" w:cs="Open Sans" w:eastAsia="Open Sans" w:hAnsi="Open Sans"/>
                <w:sz w:val="22"/>
                <w:szCs w:val="22"/>
                <w:highlight w:val="white"/>
              </w:rPr>
            </w:pPr>
            <w:r w:rsidDel="00000000" w:rsidR="00000000" w:rsidRPr="00000000">
              <w:rPr>
                <w:rFonts w:ascii="Open Sans" w:cs="Open Sans" w:eastAsia="Open Sans" w:hAnsi="Open Sans"/>
                <w:sz w:val="22"/>
                <w:szCs w:val="22"/>
                <w:highlight w:val="white"/>
                <w:rtl w:val="0"/>
              </w:rPr>
              <w:t xml:space="preserve">26.8%</w:t>
            </w:r>
          </w:p>
        </w:tc>
      </w:tr>
    </w:tbl>
    <w:p w:rsidR="00000000" w:rsidDel="00000000" w:rsidP="00000000" w:rsidRDefault="00000000" w:rsidRPr="00000000" w14:paraId="0000006F">
      <w:pPr>
        <w:spacing w:line="276" w:lineRule="auto"/>
        <w:ind w:left="720" w:firstLine="0"/>
        <w:rPr>
          <w:rFonts w:ascii="Open Sans" w:cs="Open Sans" w:eastAsia="Open Sans" w:hAnsi="Open Sans"/>
          <w:sz w:val="22"/>
          <w:szCs w:val="22"/>
          <w:highlight w:val="white"/>
        </w:rPr>
      </w:pPr>
      <w:r w:rsidDel="00000000" w:rsidR="00000000" w:rsidRPr="00000000">
        <w:rPr>
          <w:rtl w:val="0"/>
        </w:rPr>
      </w:r>
    </w:p>
    <w:p w:rsidR="00000000" w:rsidDel="00000000" w:rsidP="00000000" w:rsidRDefault="00000000" w:rsidRPr="00000000" w14:paraId="00000070">
      <w:pPr>
        <w:spacing w:line="276" w:lineRule="auto"/>
        <w:ind w:left="720" w:firstLine="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71">
      <w:pPr>
        <w:numPr>
          <w:ilvl w:val="0"/>
          <w:numId w:val="2"/>
        </w:numPr>
        <w:spacing w:line="276" w:lineRule="auto"/>
        <w:ind w:left="720" w:hanging="360"/>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IDENTIFY THE NUMBER AND PERCENT OF STUDENTS REPRESENTED BY PARENTS AT PARENT-TEACHER CONFERENCES</w:t>
      </w:r>
      <w:r w:rsidDel="00000000" w:rsidR="00000000" w:rsidRPr="00000000">
        <w:rPr>
          <w:rFonts w:ascii="Open Sans" w:cs="Open Sans" w:eastAsia="Open Sans" w:hAnsi="Open Sans"/>
          <w:sz w:val="22"/>
          <w:szCs w:val="22"/>
          <w:highlight w:val="white"/>
          <w:rtl w:val="0"/>
        </w:rPr>
        <w:t xml:space="preserve"> </w:t>
      </w:r>
    </w:p>
    <w:p w:rsidR="00000000" w:rsidDel="00000000" w:rsidP="00000000" w:rsidRDefault="00000000" w:rsidRPr="00000000" w14:paraId="00000072">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2018-2019 - Fall - 475 parents-  66%</w:t>
      </w:r>
    </w:p>
    <w:p w:rsidR="00000000" w:rsidDel="00000000" w:rsidP="00000000" w:rsidRDefault="00000000" w:rsidRPr="00000000" w14:paraId="00000073">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2018-2019 - Spring - 447 parents- 62% </w:t>
      </w:r>
    </w:p>
    <w:p w:rsidR="00000000" w:rsidDel="00000000" w:rsidP="00000000" w:rsidRDefault="00000000" w:rsidRPr="00000000" w14:paraId="00000074">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2019-2020 - Fall - 451 parents- 64%</w:t>
      </w:r>
    </w:p>
    <w:p w:rsidR="00000000" w:rsidDel="00000000" w:rsidP="00000000" w:rsidRDefault="00000000" w:rsidRPr="00000000" w14:paraId="00000075">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2019-2020 - Spring - 437 parents- 62%</w:t>
      </w:r>
    </w:p>
    <w:p w:rsidR="00000000" w:rsidDel="00000000" w:rsidP="00000000" w:rsidRDefault="00000000" w:rsidRPr="00000000" w14:paraId="00000076">
      <w:pP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2020-2021- Fall-402 parents- 66%</w:t>
      </w:r>
    </w:p>
    <w:p w:rsidR="00000000" w:rsidDel="00000000" w:rsidP="00000000" w:rsidRDefault="00000000" w:rsidRPr="00000000" w14:paraId="00000077">
      <w:pPr>
        <w:shd w:fill="ffffff" w:val="clea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2020-2021- Spring- 427 parents- 70%</w:t>
      </w:r>
    </w:p>
    <w:p w:rsidR="00000000" w:rsidDel="00000000" w:rsidP="00000000" w:rsidRDefault="00000000" w:rsidRPr="00000000" w14:paraId="00000078">
      <w:pPr>
        <w:shd w:fill="ffffff" w:val="clear"/>
        <w:spacing w:after="200" w:lineRule="auto"/>
        <w:ind w:left="720" w:firstLine="0"/>
        <w:rPr>
          <w:rFonts w:ascii="Open Sans" w:cs="Open Sans" w:eastAsia="Open Sans" w:hAnsi="Open Sans"/>
          <w:sz w:val="23"/>
          <w:szCs w:val="23"/>
          <w:highlight w:val="white"/>
        </w:rPr>
      </w:pPr>
      <w:r w:rsidDel="00000000" w:rsidR="00000000" w:rsidRPr="00000000">
        <w:rPr>
          <w:rFonts w:ascii="Open Sans" w:cs="Open Sans" w:eastAsia="Open Sans" w:hAnsi="Open Sans"/>
          <w:sz w:val="23"/>
          <w:szCs w:val="23"/>
          <w:highlight w:val="white"/>
          <w:rtl w:val="0"/>
        </w:rPr>
        <w:t xml:space="preserve">2021-2022- Fall - 213 parents- 37%</w:t>
      </w:r>
    </w:p>
    <w:p w:rsidR="00000000" w:rsidDel="00000000" w:rsidP="00000000" w:rsidRDefault="00000000" w:rsidRPr="00000000" w14:paraId="00000079">
      <w:pPr>
        <w:shd w:fill="ffffff" w:val="clear"/>
        <w:spacing w:after="200" w:lineRule="auto"/>
        <w:ind w:left="720" w:firstLine="0"/>
        <w:rPr>
          <w:rFonts w:ascii="Open Sans" w:cs="Open Sans" w:eastAsia="Open Sans" w:hAnsi="Open Sans"/>
          <w:sz w:val="23"/>
          <w:szCs w:val="23"/>
          <w:highlight w:val="white"/>
        </w:rPr>
      </w:pPr>
      <w:r w:rsidDel="00000000" w:rsidR="00000000" w:rsidRPr="00000000">
        <w:rPr>
          <w:rtl w:val="0"/>
        </w:rPr>
      </w:r>
    </w:p>
    <w:p w:rsidR="00000000" w:rsidDel="00000000" w:rsidP="00000000" w:rsidRDefault="00000000" w:rsidRPr="00000000" w14:paraId="0000007A">
      <w:pPr>
        <w:spacing w:line="276" w:lineRule="auto"/>
        <w:ind w:right="-360" w:firstLine="720"/>
        <w:rPr>
          <w:rFonts w:ascii="Verdana" w:cs="Verdana" w:eastAsia="Verdana" w:hAnsi="Verdana"/>
          <w:sz w:val="22"/>
          <w:szCs w:val="22"/>
          <w:highlight w:val="white"/>
        </w:rPr>
      </w:pPr>
      <w:r w:rsidDel="00000000" w:rsidR="00000000" w:rsidRPr="00000000">
        <w:rPr>
          <w:rFonts w:ascii="Open Sans" w:cs="Open Sans" w:eastAsia="Open Sans" w:hAnsi="Open Sans"/>
          <w:sz w:val="23"/>
          <w:szCs w:val="23"/>
          <w:highlight w:val="white"/>
          <w:rtl w:val="0"/>
        </w:rPr>
        <w:t xml:space="preserve">Holland Middle School is excited by achievements in its first three years as a stand alone middle school. HMS has placed a large focus in improving the climate and culture for students and teachers and has seen significant reductions in disciplinary referrals, increased support for students struggling with mental health, and programming which has improved the educational experience for all. Through the increased opportunities and course offerings we are confident that we will continue to increase achievement for all students while working to close the achievement gaps for identified subgroups through strategic interventions and support. As we navigate the effects of the pandemic, we will continue to create supports moving forward that will support the learning loss and gaps that have occurred as a result.HMS continues to create its own traditions while following the Vision, Mission, and Core Values of Holland Public Schools. We invite our parents and community members to support us as we Embrace, Engage, and Empower each student for success in an ever-changing world.</w:t>
      </w:r>
      <w:r w:rsidDel="00000000" w:rsidR="00000000" w:rsidRPr="00000000">
        <w:rPr>
          <w:rFonts w:ascii="Open Sans" w:cs="Open Sans" w:eastAsia="Open Sans" w:hAnsi="Open Sans"/>
          <w:sz w:val="23"/>
          <w:szCs w:val="23"/>
          <w:highlight w:val="white"/>
          <w:rtl w:val="0"/>
        </w:rPr>
        <w:t xml:space="preserve"> </w:t>
      </w:r>
      <w:r w:rsidDel="00000000" w:rsidR="00000000" w:rsidRPr="00000000">
        <w:rPr>
          <w:rtl w:val="0"/>
        </w:rPr>
      </w:r>
    </w:p>
    <w:p w:rsidR="00000000" w:rsidDel="00000000" w:rsidP="00000000" w:rsidRDefault="00000000" w:rsidRPr="00000000" w14:paraId="0000007B">
      <w:pPr>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7C">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Sincerely,</w:t>
      </w:r>
    </w:p>
    <w:p w:rsidR="00000000" w:rsidDel="00000000" w:rsidP="00000000" w:rsidRDefault="00000000" w:rsidRPr="00000000" w14:paraId="0000007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Rene Bair</w:t>
      </w:r>
    </w:p>
    <w:p w:rsidR="00000000" w:rsidDel="00000000" w:rsidP="00000000" w:rsidRDefault="00000000" w:rsidRPr="00000000" w14:paraId="0000008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Holland Middle School Principal</w:t>
      </w:r>
    </w:p>
    <w:p w:rsidR="00000000" w:rsidDel="00000000" w:rsidP="00000000" w:rsidRDefault="00000000" w:rsidRPr="00000000" w14:paraId="00000082">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higan.gov/mde/0,4615,7-140-28753_64839_65510---,00.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jjjDkopVc9gvDGYAKX1jdzmJ1A==">AMUW2mWlgUJ+SvxTopeLegM/ZKTJCMP9WuDrvXd6l9/4yW8oKTggYq7miF5j79OLLGZY404ZLzuDLnJzIKeanARYTGG0ULUl9B2GU+05s6bsrtxJJR2QAaeynrkkeUA9YzANuy5QE6Dc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2023-01-06T16:47:00Z</dcterms:created>
  <dc:creator>Liliana Figueroa</dc:creator>
</cp:coreProperties>
</file>